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449"/>
        <w:gridCol w:w="4725"/>
      </w:tblGrid>
      <w:tr w:rsidR="00A519A0" w:rsidTr="00767E58">
        <w:tc>
          <w:tcPr>
            <w:tcW w:w="9449" w:type="dxa"/>
            <w:tcBorders>
              <w:top w:val="nil"/>
              <w:left w:val="nil"/>
              <w:bottom w:val="nil"/>
              <w:right w:val="nil"/>
            </w:tcBorders>
          </w:tcPr>
          <w:p w:rsidR="0063738C" w:rsidRPr="00DF3A41" w:rsidRDefault="006B3B82" w:rsidP="006B3B82">
            <w:pPr>
              <w:jc w:val="right"/>
              <w:rPr>
                <w:b/>
                <w:szCs w:val="22"/>
              </w:rPr>
            </w:pPr>
            <w:r>
              <w:rPr>
                <w:b/>
                <w:szCs w:val="22"/>
              </w:rPr>
              <w:t>Appendix 1</w:t>
            </w:r>
          </w:p>
        </w:tc>
        <w:tc>
          <w:tcPr>
            <w:tcW w:w="4725" w:type="dxa"/>
            <w:vMerge w:val="restart"/>
            <w:tcBorders>
              <w:top w:val="nil"/>
              <w:left w:val="nil"/>
              <w:bottom w:val="nil"/>
              <w:right w:val="nil"/>
            </w:tcBorders>
          </w:tcPr>
          <w:p w:rsidR="00A519A0" w:rsidRDefault="00A519A0" w:rsidP="008A22C6">
            <w:pPr>
              <w:rPr>
                <w:sz w:val="22"/>
                <w:szCs w:val="22"/>
              </w:rPr>
            </w:pPr>
          </w:p>
          <w:p w:rsidR="00A519A0" w:rsidRDefault="00A519A0" w:rsidP="008A22C6">
            <w:pPr>
              <w:rPr>
                <w:sz w:val="22"/>
                <w:szCs w:val="22"/>
              </w:rPr>
            </w:pPr>
          </w:p>
          <w:p w:rsidR="00A519A0" w:rsidRDefault="00F6272A" w:rsidP="00767E58">
            <w:pPr>
              <w:jc w:val="center"/>
              <w:rPr>
                <w:sz w:val="22"/>
                <w:szCs w:val="22"/>
              </w:rPr>
            </w:pPr>
            <w:r>
              <w:rPr>
                <w:noProof/>
                <w:sz w:val="22"/>
                <w:szCs w:val="22"/>
                <w:lang w:eastAsia="en-GB"/>
              </w:rPr>
              <w:drawing>
                <wp:inline distT="0" distB="0" distL="0" distR="0" wp14:anchorId="5876F484" wp14:editId="668F4B2F">
                  <wp:extent cx="1827408" cy="246107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085" cy="2461985"/>
                          </a:xfrm>
                          <a:prstGeom prst="rect">
                            <a:avLst/>
                          </a:prstGeom>
                          <a:noFill/>
                          <a:ln>
                            <a:noFill/>
                          </a:ln>
                        </pic:spPr>
                      </pic:pic>
                    </a:graphicData>
                  </a:graphic>
                </wp:inline>
              </w:drawing>
            </w:r>
          </w:p>
        </w:tc>
      </w:tr>
      <w:tr w:rsidR="00A519A0" w:rsidTr="00767E58">
        <w:tc>
          <w:tcPr>
            <w:tcW w:w="9449" w:type="dxa"/>
            <w:tcBorders>
              <w:top w:val="nil"/>
              <w:left w:val="nil"/>
              <w:bottom w:val="nil"/>
              <w:right w:val="nil"/>
            </w:tcBorders>
          </w:tcPr>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p w:rsidR="00767E58" w:rsidRDefault="00767E58" w:rsidP="008A22C6">
            <w:pPr>
              <w:rPr>
                <w:sz w:val="22"/>
                <w:szCs w:val="22"/>
              </w:rPr>
            </w:pPr>
          </w:p>
          <w:p w:rsidR="00767E58" w:rsidRDefault="00767E58" w:rsidP="008A22C6">
            <w:pPr>
              <w:rPr>
                <w:sz w:val="22"/>
                <w:szCs w:val="22"/>
              </w:rPr>
            </w:pPr>
          </w:p>
          <w:p w:rsidR="00767E58" w:rsidRDefault="00767E58" w:rsidP="008A22C6">
            <w:pPr>
              <w:rPr>
                <w:sz w:val="22"/>
                <w:szCs w:val="22"/>
              </w:rPr>
            </w:pPr>
          </w:p>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p w:rsidR="00A519A0" w:rsidRDefault="00A519A0" w:rsidP="00A519A0">
            <w:pPr>
              <w:jc w:val="right"/>
              <w:rPr>
                <w:sz w:val="22"/>
                <w:szCs w:val="22"/>
              </w:rPr>
            </w:pPr>
          </w:p>
          <w:p w:rsidR="00767E58" w:rsidRDefault="00767E58" w:rsidP="00A519A0">
            <w:pPr>
              <w:jc w:val="right"/>
              <w:rPr>
                <w:b/>
                <w:sz w:val="44"/>
                <w:szCs w:val="22"/>
              </w:rPr>
            </w:pPr>
          </w:p>
          <w:p w:rsidR="00767E58" w:rsidRDefault="00767E58" w:rsidP="00A519A0">
            <w:pPr>
              <w:jc w:val="right"/>
              <w:rPr>
                <w:b/>
                <w:sz w:val="44"/>
                <w:szCs w:val="22"/>
              </w:rPr>
            </w:pPr>
          </w:p>
          <w:p w:rsidR="00A519A0" w:rsidRDefault="00A519A0" w:rsidP="00A519A0">
            <w:pPr>
              <w:jc w:val="right"/>
              <w:rPr>
                <w:b/>
                <w:sz w:val="44"/>
                <w:szCs w:val="22"/>
              </w:rPr>
            </w:pPr>
            <w:r w:rsidRPr="00A519A0">
              <w:rPr>
                <w:b/>
                <w:sz w:val="44"/>
                <w:szCs w:val="22"/>
              </w:rPr>
              <w:t>Workforce Equalities Report 2016 to 2018</w:t>
            </w:r>
          </w:p>
          <w:p w:rsidR="00A519A0" w:rsidRDefault="00A519A0" w:rsidP="00A519A0">
            <w:pPr>
              <w:jc w:val="right"/>
              <w:rPr>
                <w:b/>
                <w:sz w:val="44"/>
                <w:szCs w:val="22"/>
              </w:rPr>
            </w:pPr>
          </w:p>
          <w:p w:rsidR="00A519A0" w:rsidRPr="00A519A0" w:rsidRDefault="00586F8D" w:rsidP="00A519A0">
            <w:pPr>
              <w:ind w:left="720"/>
              <w:rPr>
                <w:b/>
                <w:sz w:val="32"/>
                <w:szCs w:val="22"/>
              </w:rPr>
            </w:pPr>
            <w:r>
              <w:rPr>
                <w:b/>
                <w:sz w:val="32"/>
                <w:szCs w:val="22"/>
              </w:rPr>
              <w:t xml:space="preserve">Published ** </w:t>
            </w:r>
            <w:r w:rsidR="008F427A">
              <w:rPr>
                <w:b/>
                <w:sz w:val="32"/>
                <w:szCs w:val="22"/>
              </w:rPr>
              <w:t>November</w:t>
            </w:r>
            <w:r>
              <w:rPr>
                <w:b/>
                <w:sz w:val="32"/>
                <w:szCs w:val="22"/>
              </w:rPr>
              <w:t xml:space="preserve"> </w:t>
            </w:r>
            <w:r w:rsidR="00A519A0" w:rsidRPr="00A519A0">
              <w:rPr>
                <w:b/>
                <w:sz w:val="32"/>
                <w:szCs w:val="22"/>
              </w:rPr>
              <w:t>2018</w:t>
            </w:r>
          </w:p>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p w:rsidR="00A519A0" w:rsidRDefault="00A519A0" w:rsidP="008A22C6">
            <w:pPr>
              <w:rPr>
                <w:sz w:val="22"/>
                <w:szCs w:val="22"/>
              </w:rPr>
            </w:pPr>
          </w:p>
        </w:tc>
        <w:tc>
          <w:tcPr>
            <w:tcW w:w="4725" w:type="dxa"/>
            <w:vMerge/>
            <w:tcBorders>
              <w:left w:val="nil"/>
              <w:bottom w:val="nil"/>
              <w:right w:val="nil"/>
            </w:tcBorders>
          </w:tcPr>
          <w:p w:rsidR="00A519A0" w:rsidRDefault="00A519A0" w:rsidP="008A22C6">
            <w:pPr>
              <w:rPr>
                <w:sz w:val="22"/>
                <w:szCs w:val="22"/>
              </w:rPr>
            </w:pPr>
          </w:p>
        </w:tc>
      </w:tr>
    </w:tbl>
    <w:p w:rsidR="00767E58" w:rsidRDefault="00767E58">
      <w:pPr>
        <w:rPr>
          <w:b/>
          <w:sz w:val="22"/>
          <w:szCs w:val="22"/>
        </w:rPr>
      </w:pPr>
    </w:p>
    <w:p w:rsidR="00767E58" w:rsidRDefault="00767E58">
      <w:pPr>
        <w:rPr>
          <w:b/>
          <w:szCs w:val="22"/>
        </w:rPr>
      </w:pPr>
      <w:r>
        <w:rPr>
          <w:b/>
          <w:szCs w:val="22"/>
        </w:rPr>
        <w:br w:type="page"/>
      </w:r>
    </w:p>
    <w:p w:rsidR="00767E58" w:rsidRPr="00767E58" w:rsidRDefault="00767E58">
      <w:pPr>
        <w:rPr>
          <w:b/>
          <w:sz w:val="28"/>
          <w:szCs w:val="22"/>
        </w:rPr>
      </w:pPr>
      <w:r w:rsidRPr="00767E58">
        <w:rPr>
          <w:b/>
          <w:sz w:val="28"/>
          <w:szCs w:val="22"/>
        </w:rPr>
        <w:lastRenderedPageBreak/>
        <w:t>WORKFORCE EQUALITIES REPORT: 2016 TO 2018</w:t>
      </w:r>
    </w:p>
    <w:p w:rsidR="00767E58" w:rsidRDefault="00767E58">
      <w:pPr>
        <w:rPr>
          <w:b/>
          <w:szCs w:val="22"/>
        </w:rPr>
      </w:pPr>
    </w:p>
    <w:p w:rsidR="00767E58" w:rsidRDefault="00767E58" w:rsidP="00767E58">
      <w:pPr>
        <w:pStyle w:val="Default"/>
        <w:rPr>
          <w:sz w:val="23"/>
          <w:szCs w:val="23"/>
        </w:rPr>
      </w:pPr>
      <w:r>
        <w:rPr>
          <w:b/>
          <w:bCs/>
          <w:sz w:val="23"/>
          <w:szCs w:val="23"/>
        </w:rPr>
        <w:t>1. INTRODUCTION</w:t>
      </w:r>
    </w:p>
    <w:p w:rsidR="00767E58" w:rsidRDefault="00767E58" w:rsidP="00767E58">
      <w:pPr>
        <w:pStyle w:val="Default"/>
        <w:rPr>
          <w:sz w:val="23"/>
          <w:szCs w:val="23"/>
        </w:rPr>
      </w:pPr>
    </w:p>
    <w:p w:rsidR="00767E58" w:rsidRDefault="00767E58" w:rsidP="00767E58">
      <w:pPr>
        <w:pStyle w:val="Default"/>
        <w:rPr>
          <w:szCs w:val="23"/>
        </w:rPr>
      </w:pPr>
      <w:r w:rsidRPr="00767E58">
        <w:rPr>
          <w:szCs w:val="23"/>
        </w:rPr>
        <w:t>In contrast to other parts of the County, Oxford is a</w:t>
      </w:r>
      <w:r w:rsidR="005D7A88">
        <w:rPr>
          <w:szCs w:val="23"/>
        </w:rPr>
        <w:t xml:space="preserve"> more</w:t>
      </w:r>
      <w:r w:rsidRPr="00767E58">
        <w:rPr>
          <w:szCs w:val="23"/>
        </w:rPr>
        <w:t xml:space="preserve"> ethnically and culturally diverse city. The City </w:t>
      </w:r>
      <w:r w:rsidR="00551EEC">
        <w:rPr>
          <w:szCs w:val="23"/>
        </w:rPr>
        <w:t>has</w:t>
      </w:r>
      <w:r w:rsidRPr="00767E58">
        <w:rPr>
          <w:szCs w:val="23"/>
        </w:rPr>
        <w:t xml:space="preserve"> experienc</w:t>
      </w:r>
      <w:r w:rsidR="00551EEC">
        <w:rPr>
          <w:szCs w:val="23"/>
        </w:rPr>
        <w:t>ed</w:t>
      </w:r>
      <w:r w:rsidRPr="00767E58">
        <w:rPr>
          <w:szCs w:val="23"/>
        </w:rPr>
        <w:t xml:space="preserve"> population growth </w:t>
      </w:r>
      <w:r w:rsidR="00551EEC">
        <w:rPr>
          <w:szCs w:val="23"/>
        </w:rPr>
        <w:t xml:space="preserve">in recent </w:t>
      </w:r>
      <w:r w:rsidR="00551EEC" w:rsidRPr="006E6CB8">
        <w:rPr>
          <w:szCs w:val="23"/>
        </w:rPr>
        <w:t xml:space="preserve">years, with </w:t>
      </w:r>
      <w:r w:rsidR="00AF1F98" w:rsidRPr="006E6CB8">
        <w:rPr>
          <w:i/>
          <w:szCs w:val="23"/>
        </w:rPr>
        <w:t>economically active</w:t>
      </w:r>
      <w:r w:rsidR="00AF1F98" w:rsidRPr="006E6CB8">
        <w:rPr>
          <w:szCs w:val="23"/>
        </w:rPr>
        <w:t xml:space="preserve"> </w:t>
      </w:r>
      <w:r w:rsidR="00551EEC" w:rsidRPr="006E6CB8">
        <w:rPr>
          <w:szCs w:val="23"/>
        </w:rPr>
        <w:t xml:space="preserve">Black, Asian </w:t>
      </w:r>
      <w:r w:rsidRPr="006E6CB8">
        <w:rPr>
          <w:szCs w:val="23"/>
        </w:rPr>
        <w:t>and Minority Ethnic (B</w:t>
      </w:r>
      <w:r w:rsidR="00551EEC" w:rsidRPr="006E6CB8">
        <w:rPr>
          <w:szCs w:val="23"/>
        </w:rPr>
        <w:t>A</w:t>
      </w:r>
      <w:r w:rsidRPr="006E6CB8">
        <w:rPr>
          <w:szCs w:val="23"/>
        </w:rPr>
        <w:t xml:space="preserve">ME) communities across Oxford accounting for </w:t>
      </w:r>
      <w:r w:rsidR="00AF1F98" w:rsidRPr="006E6CB8">
        <w:rPr>
          <w:color w:val="auto"/>
          <w:szCs w:val="23"/>
        </w:rPr>
        <w:t xml:space="preserve">some 19% </w:t>
      </w:r>
      <w:r w:rsidRPr="006E6CB8">
        <w:rPr>
          <w:szCs w:val="23"/>
        </w:rPr>
        <w:t>of the population</w:t>
      </w:r>
      <w:r w:rsidR="00EF6EBB" w:rsidRPr="006E6CB8">
        <w:rPr>
          <w:szCs w:val="23"/>
        </w:rPr>
        <w:t xml:space="preserve"> (based on 2011 census data)</w:t>
      </w:r>
      <w:r w:rsidRPr="006E6CB8">
        <w:rPr>
          <w:szCs w:val="23"/>
        </w:rPr>
        <w:t xml:space="preserve">. </w:t>
      </w:r>
      <w:r w:rsidR="00C1549D">
        <w:rPr>
          <w:szCs w:val="23"/>
        </w:rPr>
        <w:t xml:space="preserve">This diversity of population </w:t>
      </w:r>
      <w:r w:rsidR="00551EEC">
        <w:rPr>
          <w:szCs w:val="23"/>
        </w:rPr>
        <w:t>requir</w:t>
      </w:r>
      <w:r w:rsidR="00851762">
        <w:rPr>
          <w:szCs w:val="23"/>
        </w:rPr>
        <w:t>es</w:t>
      </w:r>
      <w:r w:rsidRPr="00767E58">
        <w:rPr>
          <w:szCs w:val="23"/>
        </w:rPr>
        <w:t xml:space="preserve"> the Council </w:t>
      </w:r>
      <w:r w:rsidR="00851762">
        <w:rPr>
          <w:szCs w:val="23"/>
        </w:rPr>
        <w:t xml:space="preserve">to </w:t>
      </w:r>
      <w:r w:rsidRPr="00767E58">
        <w:rPr>
          <w:szCs w:val="23"/>
        </w:rPr>
        <w:t>provide strategic community leadership, promot</w:t>
      </w:r>
      <w:r w:rsidR="00551EEC">
        <w:rPr>
          <w:szCs w:val="23"/>
        </w:rPr>
        <w:t>ing</w:t>
      </w:r>
      <w:r w:rsidRPr="00767E58">
        <w:rPr>
          <w:szCs w:val="23"/>
        </w:rPr>
        <w:t xml:space="preserve"> community cohesion and equalit</w:t>
      </w:r>
      <w:r w:rsidR="00851762">
        <w:rPr>
          <w:szCs w:val="23"/>
        </w:rPr>
        <w:t>y</w:t>
      </w:r>
      <w:r w:rsidRPr="00767E58">
        <w:rPr>
          <w:szCs w:val="23"/>
        </w:rPr>
        <w:t xml:space="preserve"> across its service</w:t>
      </w:r>
      <w:r w:rsidR="00551EEC">
        <w:rPr>
          <w:szCs w:val="23"/>
        </w:rPr>
        <w:t>s</w:t>
      </w:r>
      <w:r w:rsidR="00EF6EBB">
        <w:rPr>
          <w:szCs w:val="23"/>
        </w:rPr>
        <w:t xml:space="preserve"> as well as aim for its workforce to reflect the diversity of the communities it serves</w:t>
      </w:r>
      <w:r w:rsidRPr="00767E58">
        <w:rPr>
          <w:szCs w:val="23"/>
        </w:rPr>
        <w:t>. In relation to employment</w:t>
      </w:r>
      <w:r w:rsidR="00851762">
        <w:rPr>
          <w:szCs w:val="23"/>
        </w:rPr>
        <w:t>,</w:t>
      </w:r>
      <w:r w:rsidRPr="00767E58">
        <w:rPr>
          <w:szCs w:val="23"/>
        </w:rPr>
        <w:t xml:space="preserve"> key initiatives promoted by the Council include: </w:t>
      </w:r>
    </w:p>
    <w:p w:rsidR="00767E58" w:rsidRPr="00767E58" w:rsidRDefault="00767E58" w:rsidP="00767E58">
      <w:pPr>
        <w:pStyle w:val="Default"/>
        <w:rPr>
          <w:szCs w:val="23"/>
        </w:rPr>
      </w:pPr>
    </w:p>
    <w:p w:rsidR="00767E58" w:rsidRPr="00767E58" w:rsidRDefault="00767E58" w:rsidP="00767E58">
      <w:pPr>
        <w:pStyle w:val="Default"/>
        <w:numPr>
          <w:ilvl w:val="0"/>
          <w:numId w:val="3"/>
        </w:numPr>
        <w:spacing w:after="148"/>
        <w:rPr>
          <w:szCs w:val="23"/>
        </w:rPr>
      </w:pPr>
      <w:r w:rsidRPr="00767E58">
        <w:rPr>
          <w:szCs w:val="23"/>
        </w:rPr>
        <w:t>Increasing the diversity of the workforce by promoting the career opportunities available in local government, attracting and appointing more B</w:t>
      </w:r>
      <w:r w:rsidR="00A71A1D">
        <w:rPr>
          <w:szCs w:val="23"/>
        </w:rPr>
        <w:t>A</w:t>
      </w:r>
      <w:r w:rsidRPr="00767E58">
        <w:rPr>
          <w:szCs w:val="23"/>
        </w:rPr>
        <w:t xml:space="preserve">ME candidates to better reflect the make-up of Oxford communities </w:t>
      </w:r>
    </w:p>
    <w:p w:rsidR="00767E58" w:rsidRPr="00767E58" w:rsidRDefault="00767E58" w:rsidP="00767E58">
      <w:pPr>
        <w:pStyle w:val="Default"/>
        <w:numPr>
          <w:ilvl w:val="0"/>
          <w:numId w:val="3"/>
        </w:numPr>
        <w:spacing w:after="148"/>
        <w:rPr>
          <w:szCs w:val="23"/>
        </w:rPr>
      </w:pPr>
      <w:r w:rsidRPr="00767E58">
        <w:rPr>
          <w:szCs w:val="23"/>
        </w:rPr>
        <w:t xml:space="preserve">Supporting the creation of new jobs through leading on ethical procurement, working with the </w:t>
      </w:r>
      <w:r w:rsidR="00AC543B">
        <w:rPr>
          <w:szCs w:val="23"/>
        </w:rPr>
        <w:t>L</w:t>
      </w:r>
      <w:r w:rsidR="00AC543B" w:rsidRPr="00767E58">
        <w:rPr>
          <w:szCs w:val="23"/>
        </w:rPr>
        <w:t xml:space="preserve">ocal </w:t>
      </w:r>
      <w:r w:rsidR="00AC543B">
        <w:rPr>
          <w:szCs w:val="23"/>
        </w:rPr>
        <w:t>E</w:t>
      </w:r>
      <w:r w:rsidR="00AC543B" w:rsidRPr="00767E58">
        <w:rPr>
          <w:szCs w:val="23"/>
        </w:rPr>
        <w:t xml:space="preserve">nterprise </w:t>
      </w:r>
      <w:r w:rsidR="00AC543B">
        <w:rPr>
          <w:szCs w:val="23"/>
        </w:rPr>
        <w:t>P</w:t>
      </w:r>
      <w:r w:rsidR="00AC543B" w:rsidRPr="00767E58">
        <w:rPr>
          <w:szCs w:val="23"/>
        </w:rPr>
        <w:t>artnership</w:t>
      </w:r>
      <w:r w:rsidRPr="00767E58">
        <w:rPr>
          <w:szCs w:val="23"/>
        </w:rPr>
        <w:t xml:space="preserve">, investing in major infrastructure projects to regenerate Barton, Blackbird Leys, Rose Hill and the City Centre, and supporting employment and skills plans linked to these developments </w:t>
      </w:r>
    </w:p>
    <w:p w:rsidR="00767E58" w:rsidRPr="00767E58" w:rsidRDefault="00767E58" w:rsidP="00767E58">
      <w:pPr>
        <w:pStyle w:val="Default"/>
        <w:numPr>
          <w:ilvl w:val="0"/>
          <w:numId w:val="3"/>
        </w:numPr>
        <w:rPr>
          <w:szCs w:val="23"/>
        </w:rPr>
      </w:pPr>
      <w:r w:rsidRPr="00767E58">
        <w:rPr>
          <w:szCs w:val="23"/>
        </w:rPr>
        <w:t xml:space="preserve">Maintaining our accredited Oxford Living Wage </w:t>
      </w:r>
      <w:r w:rsidR="00851762">
        <w:rPr>
          <w:szCs w:val="23"/>
        </w:rPr>
        <w:t xml:space="preserve">(OLW) </w:t>
      </w:r>
      <w:r w:rsidRPr="00767E58">
        <w:rPr>
          <w:szCs w:val="23"/>
        </w:rPr>
        <w:t>policy for directly employed staff, contractors and agency staff, a</w:t>
      </w:r>
      <w:r w:rsidR="00851762">
        <w:rPr>
          <w:szCs w:val="23"/>
        </w:rPr>
        <w:t>s well as</w:t>
      </w:r>
      <w:r w:rsidRPr="00767E58">
        <w:rPr>
          <w:szCs w:val="23"/>
        </w:rPr>
        <w:t xml:space="preserve"> influencing other employers to be part of a Living Wage City </w:t>
      </w:r>
    </w:p>
    <w:p w:rsidR="00767E58" w:rsidRDefault="00767E58" w:rsidP="00767E58">
      <w:pPr>
        <w:pStyle w:val="Default"/>
        <w:rPr>
          <w:sz w:val="23"/>
          <w:szCs w:val="23"/>
        </w:rPr>
      </w:pPr>
    </w:p>
    <w:p w:rsidR="00767E58" w:rsidRDefault="00767E58" w:rsidP="00767E58">
      <w:pPr>
        <w:pStyle w:val="Default"/>
        <w:rPr>
          <w:b/>
          <w:bCs/>
          <w:sz w:val="23"/>
          <w:szCs w:val="23"/>
        </w:rPr>
      </w:pPr>
      <w:r>
        <w:rPr>
          <w:b/>
          <w:bCs/>
          <w:sz w:val="23"/>
          <w:szCs w:val="23"/>
        </w:rPr>
        <w:t xml:space="preserve">2. PURPOSE OF THIS REPORT: </w:t>
      </w:r>
    </w:p>
    <w:p w:rsidR="00767E58" w:rsidRDefault="00767E58" w:rsidP="00767E58">
      <w:pPr>
        <w:pStyle w:val="Default"/>
        <w:rPr>
          <w:sz w:val="23"/>
          <w:szCs w:val="23"/>
        </w:rPr>
      </w:pPr>
    </w:p>
    <w:p w:rsidR="00767E58" w:rsidRDefault="00767E58" w:rsidP="00767E58">
      <w:pPr>
        <w:pStyle w:val="Default"/>
        <w:rPr>
          <w:szCs w:val="23"/>
        </w:rPr>
      </w:pPr>
      <w:r w:rsidRPr="00767E58">
        <w:rPr>
          <w:szCs w:val="23"/>
        </w:rPr>
        <w:t xml:space="preserve">This report focuses on the Council as an employer committed to increasing the diversity of its workforce and providing an inclusive work environment with equality of opportunity for all employees. It covers all aspects of recruitment, retention, performance management and staff development reflecting high standards of professional practice, our position </w:t>
      </w:r>
      <w:r w:rsidR="00004490" w:rsidRPr="00767E58">
        <w:rPr>
          <w:szCs w:val="23"/>
        </w:rPr>
        <w:t>as</w:t>
      </w:r>
      <w:r w:rsidRPr="00767E58">
        <w:rPr>
          <w:szCs w:val="23"/>
        </w:rPr>
        <w:t xml:space="preserve"> Investors in People Gold Champion, in addition to embedding the Public Sector Equality Duty and Equality Act 2010 best practice. </w:t>
      </w:r>
    </w:p>
    <w:p w:rsidR="00767E58" w:rsidRPr="00767E58" w:rsidRDefault="00767E58" w:rsidP="00767E58">
      <w:pPr>
        <w:pStyle w:val="Default"/>
        <w:rPr>
          <w:szCs w:val="23"/>
        </w:rPr>
      </w:pPr>
    </w:p>
    <w:p w:rsidR="00767E58" w:rsidRDefault="00767E58" w:rsidP="00767E58">
      <w:pPr>
        <w:rPr>
          <w:szCs w:val="23"/>
        </w:rPr>
      </w:pPr>
      <w:r w:rsidRPr="00767E58">
        <w:rPr>
          <w:szCs w:val="23"/>
        </w:rPr>
        <w:t>It provides a</w:t>
      </w:r>
      <w:r w:rsidR="00EF6EBB">
        <w:rPr>
          <w:szCs w:val="23"/>
        </w:rPr>
        <w:t>n</w:t>
      </w:r>
      <w:r w:rsidRPr="00767E58">
        <w:rPr>
          <w:szCs w:val="23"/>
        </w:rPr>
        <w:t xml:space="preserve"> update on human resources and equalities related </w:t>
      </w:r>
      <w:r w:rsidR="00EF6EBB">
        <w:rPr>
          <w:szCs w:val="23"/>
        </w:rPr>
        <w:t xml:space="preserve">activities, </w:t>
      </w:r>
      <w:r w:rsidRPr="00767E58">
        <w:rPr>
          <w:szCs w:val="23"/>
        </w:rPr>
        <w:t xml:space="preserve">a </w:t>
      </w:r>
      <w:r w:rsidR="00EF6EBB">
        <w:rPr>
          <w:szCs w:val="23"/>
        </w:rPr>
        <w:t>‘</w:t>
      </w:r>
      <w:r w:rsidRPr="00767E58">
        <w:rPr>
          <w:szCs w:val="23"/>
        </w:rPr>
        <w:t>snap shot</w:t>
      </w:r>
      <w:r w:rsidR="00EF6EBB">
        <w:rPr>
          <w:szCs w:val="23"/>
        </w:rPr>
        <w:t>’</w:t>
      </w:r>
      <w:r w:rsidRPr="00767E58">
        <w:rPr>
          <w:szCs w:val="23"/>
        </w:rPr>
        <w:t xml:space="preserve"> of what we look like as a council</w:t>
      </w:r>
      <w:r>
        <w:rPr>
          <w:szCs w:val="23"/>
        </w:rPr>
        <w:t xml:space="preserve">, data </w:t>
      </w:r>
      <w:r w:rsidR="00EF6EBB">
        <w:rPr>
          <w:szCs w:val="23"/>
        </w:rPr>
        <w:t xml:space="preserve">trend analysis for </w:t>
      </w:r>
      <w:r>
        <w:rPr>
          <w:szCs w:val="23"/>
        </w:rPr>
        <w:t xml:space="preserve">a three year period </w:t>
      </w:r>
      <w:r w:rsidR="000540D8">
        <w:rPr>
          <w:szCs w:val="23"/>
        </w:rPr>
        <w:t xml:space="preserve">(1 April 2015 to 31 March 2018) </w:t>
      </w:r>
      <w:r>
        <w:rPr>
          <w:szCs w:val="23"/>
        </w:rPr>
        <w:t xml:space="preserve">that </w:t>
      </w:r>
      <w:r w:rsidRPr="00767E58">
        <w:rPr>
          <w:szCs w:val="23"/>
        </w:rPr>
        <w:t>highlight</w:t>
      </w:r>
      <w:r>
        <w:rPr>
          <w:szCs w:val="23"/>
        </w:rPr>
        <w:t>s</w:t>
      </w:r>
      <w:r w:rsidRPr="00767E58">
        <w:rPr>
          <w:szCs w:val="23"/>
        </w:rPr>
        <w:t xml:space="preserve"> what we have done in terms of recruitment and retention to increase the diversity of our </w:t>
      </w:r>
      <w:r w:rsidRPr="006E6CB8">
        <w:rPr>
          <w:szCs w:val="23"/>
        </w:rPr>
        <w:t xml:space="preserve">workforce. </w:t>
      </w:r>
      <w:r w:rsidR="00817F51" w:rsidRPr="006E6CB8">
        <w:rPr>
          <w:szCs w:val="23"/>
        </w:rPr>
        <w:t>The report also provides comparative population data and breakdown of Oxford City Council and Direct Services staffing for key equalities reporting areas.</w:t>
      </w:r>
    </w:p>
    <w:p w:rsidR="00767E58" w:rsidRDefault="00767E58">
      <w:pPr>
        <w:rPr>
          <w:szCs w:val="23"/>
        </w:rPr>
      </w:pPr>
      <w:r>
        <w:rPr>
          <w:szCs w:val="23"/>
        </w:rPr>
        <w:br w:type="page"/>
      </w:r>
    </w:p>
    <w:p w:rsidR="00D27E5B" w:rsidRPr="007A16CA" w:rsidRDefault="00AF1F98" w:rsidP="008A22C6">
      <w:pPr>
        <w:rPr>
          <w:szCs w:val="22"/>
        </w:rPr>
      </w:pPr>
      <w:r>
        <w:rPr>
          <w:b/>
          <w:szCs w:val="22"/>
        </w:rPr>
        <w:lastRenderedPageBreak/>
        <w:t>3</w:t>
      </w:r>
      <w:r w:rsidR="00C245C6">
        <w:rPr>
          <w:b/>
          <w:szCs w:val="22"/>
        </w:rPr>
        <w:t xml:space="preserve">. </w:t>
      </w:r>
      <w:r>
        <w:rPr>
          <w:b/>
          <w:szCs w:val="22"/>
        </w:rPr>
        <w:t>GENERAL POPULATON &amp; W</w:t>
      </w:r>
      <w:r w:rsidR="00C245C6" w:rsidRPr="007A16CA">
        <w:rPr>
          <w:b/>
          <w:szCs w:val="22"/>
        </w:rPr>
        <w:t>ORKFORCE DIVERSITY</w:t>
      </w:r>
      <w:r>
        <w:rPr>
          <w:b/>
          <w:szCs w:val="22"/>
        </w:rPr>
        <w:t xml:space="preserve"> PROFILE (</w:t>
      </w:r>
      <w:r w:rsidR="00C245C6" w:rsidRPr="007A16CA">
        <w:rPr>
          <w:b/>
          <w:szCs w:val="22"/>
        </w:rPr>
        <w:t>AS AT 31 MARCH 2016, 2017 AND 2018</w:t>
      </w:r>
      <w:r>
        <w:rPr>
          <w:b/>
          <w:szCs w:val="22"/>
        </w:rPr>
        <w:t>)</w:t>
      </w:r>
    </w:p>
    <w:p w:rsidR="00D27E5B" w:rsidRDefault="00D27E5B" w:rsidP="008A22C6">
      <w:pPr>
        <w:rPr>
          <w:szCs w:val="22"/>
        </w:rPr>
      </w:pPr>
    </w:p>
    <w:p w:rsidR="00AF1F98" w:rsidRDefault="00AF1F98" w:rsidP="008A22C6">
      <w:pPr>
        <w:rPr>
          <w:b/>
          <w:szCs w:val="22"/>
        </w:rPr>
      </w:pPr>
      <w:r>
        <w:rPr>
          <w:b/>
          <w:szCs w:val="22"/>
        </w:rPr>
        <w:t xml:space="preserve">OXFORD GENERAL POPULATION DATA: </w:t>
      </w:r>
      <w:r w:rsidR="000036A1">
        <w:rPr>
          <w:b/>
          <w:szCs w:val="22"/>
        </w:rPr>
        <w:t>SEX</w:t>
      </w:r>
    </w:p>
    <w:p w:rsidR="00562537" w:rsidRDefault="00562537" w:rsidP="008A22C6">
      <w:pPr>
        <w:rPr>
          <w:b/>
          <w:szCs w:val="22"/>
        </w:rPr>
      </w:pPr>
    </w:p>
    <w:p w:rsidR="00562537" w:rsidRDefault="00562537" w:rsidP="008A22C6">
      <w:pPr>
        <w:rPr>
          <w:b/>
          <w:szCs w:val="22"/>
        </w:rPr>
      </w:pPr>
      <w:r>
        <w:rPr>
          <w:noProof/>
          <w:lang w:eastAsia="en-GB"/>
        </w:rPr>
        <w:drawing>
          <wp:inline distT="0" distB="0" distL="0" distR="0" wp14:anchorId="2244451C" wp14:editId="301C0064">
            <wp:extent cx="7810500" cy="40005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2537" w:rsidRDefault="00562537" w:rsidP="008A22C6">
      <w:pPr>
        <w:rPr>
          <w:b/>
          <w:szCs w:val="22"/>
        </w:rPr>
      </w:pPr>
    </w:p>
    <w:p w:rsidR="00562537" w:rsidRDefault="00562537" w:rsidP="008A22C6">
      <w:pPr>
        <w:rPr>
          <w:b/>
          <w:szCs w:val="22"/>
        </w:rPr>
      </w:pPr>
    </w:p>
    <w:p w:rsidR="00562537" w:rsidRDefault="00562537" w:rsidP="008A22C6">
      <w:pPr>
        <w:rPr>
          <w:b/>
          <w:szCs w:val="22"/>
        </w:rPr>
      </w:pPr>
    </w:p>
    <w:p w:rsidR="00562537" w:rsidRDefault="00562537" w:rsidP="008A22C6">
      <w:pPr>
        <w:rPr>
          <w:b/>
          <w:szCs w:val="22"/>
        </w:rPr>
      </w:pPr>
    </w:p>
    <w:p w:rsidR="00562537" w:rsidRDefault="00562537" w:rsidP="008A22C6">
      <w:pPr>
        <w:rPr>
          <w:b/>
          <w:szCs w:val="22"/>
        </w:rPr>
      </w:pPr>
    </w:p>
    <w:p w:rsidR="00E15EE4" w:rsidRPr="00E15EE4" w:rsidRDefault="00E15EE4" w:rsidP="008A22C6">
      <w:pPr>
        <w:rPr>
          <w:b/>
          <w:szCs w:val="22"/>
        </w:rPr>
      </w:pPr>
      <w:r w:rsidRPr="00E15EE4">
        <w:rPr>
          <w:b/>
          <w:szCs w:val="22"/>
        </w:rPr>
        <w:lastRenderedPageBreak/>
        <w:t xml:space="preserve">WORKFORCE PROFILE </w:t>
      </w:r>
      <w:r>
        <w:rPr>
          <w:b/>
          <w:szCs w:val="22"/>
        </w:rPr>
        <w:t xml:space="preserve">- </w:t>
      </w:r>
      <w:r w:rsidRPr="00E15EE4">
        <w:rPr>
          <w:b/>
          <w:szCs w:val="22"/>
        </w:rPr>
        <w:t>OVERVIEW</w:t>
      </w:r>
    </w:p>
    <w:p w:rsidR="00E15EE4" w:rsidRPr="00E15EE4" w:rsidRDefault="00E15EE4" w:rsidP="008A22C6">
      <w:pPr>
        <w:rPr>
          <w:szCs w:val="22"/>
        </w:rPr>
      </w:pPr>
    </w:p>
    <w:p w:rsidR="00E15EE4" w:rsidRDefault="00E15EE4" w:rsidP="00E15EE4">
      <w:pPr>
        <w:rPr>
          <w:szCs w:val="22"/>
        </w:rPr>
      </w:pPr>
      <w:r w:rsidRPr="0005033A">
        <w:rPr>
          <w:szCs w:val="22"/>
        </w:rPr>
        <w:t xml:space="preserve">One of the Council’s four values is to </w:t>
      </w:r>
      <w:r w:rsidRPr="0005033A">
        <w:t xml:space="preserve">Value Diversity and this forms part of the annual behavioural development for all staff, as well as being included in the annual appraisal review process. All new starters are required to read the Council’s </w:t>
      </w:r>
      <w:r w:rsidRPr="0005033A">
        <w:rPr>
          <w:i/>
        </w:rPr>
        <w:t>Dignity at Work</w:t>
      </w:r>
      <w:r w:rsidRPr="0005033A">
        <w:t xml:space="preserve"> policy as part of their induction process, and the Council offers a wide range of learning and development including unconscious bias training for managers and staff involved in recruitment as well as equalities-related e-learning packages. </w:t>
      </w:r>
      <w:r w:rsidRPr="0005033A">
        <w:rPr>
          <w:szCs w:val="22"/>
        </w:rPr>
        <w:t>HR Business Partners continue to promote and encourage an open and inclusive team culture in their day-to-day engagement with managers and staff.</w:t>
      </w:r>
      <w:r w:rsidRPr="000540D8">
        <w:rPr>
          <w:szCs w:val="22"/>
        </w:rPr>
        <w:t xml:space="preserve"> </w:t>
      </w:r>
    </w:p>
    <w:p w:rsidR="00E15EE4" w:rsidRDefault="00E15EE4" w:rsidP="008A22C6">
      <w:pPr>
        <w:rPr>
          <w:b/>
          <w:szCs w:val="22"/>
        </w:rPr>
      </w:pPr>
    </w:p>
    <w:p w:rsidR="00E15EE4" w:rsidRDefault="00E15EE4" w:rsidP="008A22C6">
      <w:pPr>
        <w:rPr>
          <w:b/>
          <w:szCs w:val="22"/>
        </w:rPr>
      </w:pPr>
    </w:p>
    <w:p w:rsidR="00562537" w:rsidRDefault="00562537" w:rsidP="008A22C6">
      <w:pPr>
        <w:rPr>
          <w:b/>
          <w:szCs w:val="22"/>
        </w:rPr>
      </w:pPr>
      <w:r>
        <w:rPr>
          <w:b/>
          <w:szCs w:val="22"/>
        </w:rPr>
        <w:t>WORKFORCE PROFILE (</w:t>
      </w:r>
      <w:r w:rsidR="000036A1">
        <w:rPr>
          <w:b/>
          <w:szCs w:val="22"/>
        </w:rPr>
        <w:t>SEX</w:t>
      </w:r>
      <w:r>
        <w:rPr>
          <w:b/>
          <w:szCs w:val="22"/>
        </w:rPr>
        <w:t>)</w:t>
      </w:r>
    </w:p>
    <w:p w:rsidR="00562537" w:rsidRDefault="00562537" w:rsidP="008A22C6">
      <w:pPr>
        <w:rPr>
          <w:b/>
          <w:szCs w:val="22"/>
        </w:rPr>
      </w:pPr>
    </w:p>
    <w:tbl>
      <w:tblPr>
        <w:tblW w:w="13112" w:type="dxa"/>
        <w:tblInd w:w="93" w:type="dxa"/>
        <w:tblLook w:val="04A0" w:firstRow="1" w:lastRow="0" w:firstColumn="1" w:lastColumn="0" w:noHBand="0" w:noVBand="1"/>
      </w:tblPr>
      <w:tblGrid>
        <w:gridCol w:w="1471"/>
        <w:gridCol w:w="1510"/>
        <w:gridCol w:w="1123"/>
        <w:gridCol w:w="400"/>
        <w:gridCol w:w="1471"/>
        <w:gridCol w:w="1510"/>
        <w:gridCol w:w="1123"/>
        <w:gridCol w:w="400"/>
        <w:gridCol w:w="1471"/>
        <w:gridCol w:w="1510"/>
        <w:gridCol w:w="1123"/>
      </w:tblGrid>
      <w:tr w:rsidR="00FC2B93" w:rsidRPr="00D27E5B" w:rsidTr="00FC2B93">
        <w:trPr>
          <w:trHeight w:val="315"/>
        </w:trPr>
        <w:tc>
          <w:tcPr>
            <w:tcW w:w="4104" w:type="dxa"/>
            <w:gridSpan w:val="3"/>
            <w:tcBorders>
              <w:top w:val="nil"/>
              <w:left w:val="nil"/>
              <w:bottom w:val="nil"/>
              <w:right w:val="nil"/>
            </w:tcBorders>
            <w:shd w:val="clear" w:color="auto" w:fill="auto"/>
            <w:noWrap/>
            <w:vAlign w:val="bottom"/>
            <w:hideMark/>
          </w:tcPr>
          <w:p w:rsidR="00FC2B93" w:rsidRPr="00A21AA8" w:rsidRDefault="009B5E8B" w:rsidP="002A3204">
            <w:pPr>
              <w:rPr>
                <w:rFonts w:eastAsia="Times New Roman"/>
                <w:b/>
                <w:bCs/>
                <w:color w:val="000000"/>
                <w:sz w:val="22"/>
                <w:szCs w:val="22"/>
                <w:lang w:eastAsia="en-GB"/>
              </w:rPr>
            </w:pPr>
            <w:r>
              <w:rPr>
                <w:rFonts w:eastAsia="Times New Roman"/>
                <w:b/>
                <w:bCs/>
                <w:color w:val="000000"/>
                <w:sz w:val="22"/>
                <w:szCs w:val="22"/>
                <w:lang w:eastAsia="en-GB"/>
              </w:rPr>
              <w:t>A</w:t>
            </w:r>
            <w:r w:rsidR="00FC2B93" w:rsidRPr="00A21AA8">
              <w:rPr>
                <w:rFonts w:eastAsia="Times New Roman"/>
                <w:b/>
                <w:bCs/>
                <w:color w:val="000000"/>
                <w:sz w:val="22"/>
                <w:szCs w:val="22"/>
                <w:lang w:eastAsia="en-GB"/>
              </w:rPr>
              <w:t xml:space="preserve">s at </w:t>
            </w:r>
            <w:r w:rsidR="00FC2B93" w:rsidRPr="00CA74BC">
              <w:rPr>
                <w:rFonts w:eastAsia="Times New Roman"/>
                <w:b/>
                <w:bCs/>
                <w:color w:val="000000"/>
                <w:sz w:val="22"/>
                <w:szCs w:val="22"/>
                <w:lang w:eastAsia="en-GB"/>
              </w:rPr>
              <w:t>March 2016</w:t>
            </w:r>
          </w:p>
        </w:tc>
        <w:tc>
          <w:tcPr>
            <w:tcW w:w="400" w:type="dxa"/>
            <w:tcBorders>
              <w:top w:val="nil"/>
              <w:left w:val="nil"/>
              <w:bottom w:val="nil"/>
              <w:right w:val="nil"/>
            </w:tcBorders>
            <w:shd w:val="clear" w:color="auto" w:fill="auto"/>
            <w:noWrap/>
            <w:vAlign w:val="bottom"/>
            <w:hideMark/>
          </w:tcPr>
          <w:p w:rsidR="00FC2B93" w:rsidRPr="00A21AA8" w:rsidRDefault="00FC2B93" w:rsidP="002A3204">
            <w:pPr>
              <w:rPr>
                <w:rFonts w:eastAsia="Times New Roman"/>
                <w:color w:val="000000"/>
                <w:sz w:val="22"/>
                <w:szCs w:val="22"/>
                <w:lang w:eastAsia="en-GB"/>
              </w:rPr>
            </w:pPr>
          </w:p>
        </w:tc>
        <w:tc>
          <w:tcPr>
            <w:tcW w:w="4104" w:type="dxa"/>
            <w:gridSpan w:val="3"/>
            <w:tcBorders>
              <w:top w:val="nil"/>
              <w:left w:val="nil"/>
              <w:bottom w:val="nil"/>
              <w:right w:val="nil"/>
            </w:tcBorders>
            <w:shd w:val="clear" w:color="auto" w:fill="auto"/>
            <w:noWrap/>
            <w:vAlign w:val="bottom"/>
            <w:hideMark/>
          </w:tcPr>
          <w:p w:rsidR="00FC2B93" w:rsidRPr="00D27E5B" w:rsidRDefault="00FC2B93" w:rsidP="002A3204">
            <w:pPr>
              <w:rPr>
                <w:rFonts w:eastAsia="Times New Roman"/>
                <w:b/>
                <w:bCs/>
                <w:color w:val="000000"/>
                <w:sz w:val="22"/>
                <w:szCs w:val="22"/>
                <w:lang w:eastAsia="en-GB"/>
              </w:rPr>
            </w:pPr>
            <w:r w:rsidRPr="00CA74BC">
              <w:rPr>
                <w:rFonts w:eastAsia="Times New Roman"/>
                <w:b/>
                <w:bCs/>
                <w:color w:val="000000"/>
                <w:sz w:val="22"/>
                <w:szCs w:val="22"/>
                <w:lang w:eastAsia="en-GB"/>
              </w:rPr>
              <w:t>As at 31 March 2017</w:t>
            </w:r>
          </w:p>
        </w:tc>
        <w:tc>
          <w:tcPr>
            <w:tcW w:w="400" w:type="dxa"/>
            <w:tcBorders>
              <w:top w:val="nil"/>
              <w:left w:val="nil"/>
              <w:bottom w:val="nil"/>
              <w:right w:val="nil"/>
            </w:tcBorders>
            <w:shd w:val="clear" w:color="auto" w:fill="auto"/>
            <w:noWrap/>
            <w:vAlign w:val="bottom"/>
            <w:hideMark/>
          </w:tcPr>
          <w:p w:rsidR="00FC2B93" w:rsidRPr="00A21AA8" w:rsidRDefault="00FC2B93" w:rsidP="002A3204">
            <w:pPr>
              <w:rPr>
                <w:rFonts w:eastAsia="Times New Roman"/>
                <w:color w:val="000000"/>
                <w:sz w:val="22"/>
                <w:szCs w:val="22"/>
                <w:lang w:eastAsia="en-GB"/>
              </w:rPr>
            </w:pPr>
          </w:p>
        </w:tc>
        <w:tc>
          <w:tcPr>
            <w:tcW w:w="4104" w:type="dxa"/>
            <w:gridSpan w:val="3"/>
            <w:tcBorders>
              <w:top w:val="nil"/>
              <w:left w:val="nil"/>
              <w:bottom w:val="nil"/>
              <w:right w:val="nil"/>
            </w:tcBorders>
            <w:shd w:val="clear" w:color="auto" w:fill="auto"/>
            <w:noWrap/>
            <w:vAlign w:val="bottom"/>
            <w:hideMark/>
          </w:tcPr>
          <w:p w:rsidR="00FC2B93" w:rsidRPr="00D27E5B" w:rsidRDefault="00FC2B93" w:rsidP="002A3204">
            <w:pPr>
              <w:rPr>
                <w:rFonts w:eastAsia="Times New Roman"/>
                <w:b/>
                <w:bCs/>
                <w:color w:val="000000"/>
                <w:sz w:val="22"/>
                <w:szCs w:val="22"/>
                <w:lang w:eastAsia="en-GB"/>
              </w:rPr>
            </w:pPr>
            <w:r w:rsidRPr="00CA74BC">
              <w:rPr>
                <w:rFonts w:eastAsia="Times New Roman"/>
                <w:b/>
                <w:bCs/>
                <w:color w:val="000000"/>
                <w:sz w:val="22"/>
                <w:szCs w:val="22"/>
                <w:lang w:eastAsia="en-GB"/>
              </w:rPr>
              <w:t>As at 31 March 2018</w:t>
            </w:r>
          </w:p>
        </w:tc>
      </w:tr>
      <w:tr w:rsidR="00FC2B93" w:rsidRPr="00A21AA8" w:rsidTr="00FC2B93">
        <w:trPr>
          <w:trHeight w:val="315"/>
        </w:trPr>
        <w:tc>
          <w:tcPr>
            <w:tcW w:w="1471" w:type="dxa"/>
            <w:tcBorders>
              <w:top w:val="nil"/>
              <w:left w:val="nil"/>
              <w:bottom w:val="nil"/>
              <w:right w:val="nil"/>
            </w:tcBorders>
            <w:shd w:val="clear" w:color="auto" w:fill="auto"/>
            <w:noWrap/>
            <w:vAlign w:val="bottom"/>
            <w:hideMark/>
          </w:tcPr>
          <w:p w:rsidR="00FC2B93" w:rsidRPr="00A21AA8" w:rsidRDefault="00FC2B93" w:rsidP="002A3204">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FC2B93" w:rsidRPr="00A21AA8" w:rsidRDefault="00FC2B93" w:rsidP="002A3204">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FC2B93" w:rsidRPr="00A21AA8" w:rsidRDefault="00FC2B93" w:rsidP="002A3204">
            <w:pPr>
              <w:jc w:val="center"/>
              <w:rPr>
                <w:rFonts w:eastAsia="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FC2B93" w:rsidRPr="00A21AA8" w:rsidRDefault="00FC2B93" w:rsidP="002A3204">
            <w:pPr>
              <w:rPr>
                <w:rFonts w:eastAsia="Times New Roman"/>
                <w:color w:val="000000"/>
                <w:sz w:val="22"/>
                <w:szCs w:val="22"/>
                <w:lang w:eastAsia="en-GB"/>
              </w:rPr>
            </w:pPr>
          </w:p>
        </w:tc>
        <w:tc>
          <w:tcPr>
            <w:tcW w:w="1471" w:type="dxa"/>
            <w:tcBorders>
              <w:top w:val="nil"/>
              <w:left w:val="nil"/>
              <w:bottom w:val="nil"/>
              <w:right w:val="nil"/>
            </w:tcBorders>
            <w:shd w:val="clear" w:color="auto" w:fill="auto"/>
            <w:noWrap/>
            <w:vAlign w:val="bottom"/>
            <w:hideMark/>
          </w:tcPr>
          <w:p w:rsidR="00FC2B93" w:rsidRPr="00A21AA8" w:rsidRDefault="00FC2B93" w:rsidP="002A3204">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FC2B93" w:rsidRPr="00A21AA8" w:rsidRDefault="00FC2B93" w:rsidP="002A3204">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FC2B93" w:rsidRPr="00A21AA8" w:rsidRDefault="00FC2B93" w:rsidP="002A3204">
            <w:pPr>
              <w:jc w:val="center"/>
              <w:rPr>
                <w:rFonts w:eastAsia="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FC2B93" w:rsidRPr="00A21AA8" w:rsidRDefault="00FC2B93" w:rsidP="002A3204">
            <w:pPr>
              <w:rPr>
                <w:rFonts w:eastAsia="Times New Roman"/>
                <w:color w:val="000000"/>
                <w:sz w:val="22"/>
                <w:szCs w:val="22"/>
                <w:lang w:eastAsia="en-GB"/>
              </w:rPr>
            </w:pPr>
          </w:p>
        </w:tc>
        <w:tc>
          <w:tcPr>
            <w:tcW w:w="1471" w:type="dxa"/>
            <w:tcBorders>
              <w:top w:val="nil"/>
              <w:left w:val="nil"/>
              <w:bottom w:val="nil"/>
              <w:right w:val="nil"/>
            </w:tcBorders>
            <w:shd w:val="clear" w:color="auto" w:fill="auto"/>
            <w:noWrap/>
            <w:vAlign w:val="bottom"/>
            <w:hideMark/>
          </w:tcPr>
          <w:p w:rsidR="00FC2B93" w:rsidRPr="00A21AA8" w:rsidRDefault="00FC2B93" w:rsidP="002A3204">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FC2B93" w:rsidRPr="00A21AA8" w:rsidRDefault="00FC2B93" w:rsidP="002A3204">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FC2B93" w:rsidRPr="00A21AA8" w:rsidRDefault="00FC2B93" w:rsidP="002A3204">
            <w:pPr>
              <w:jc w:val="center"/>
              <w:rPr>
                <w:rFonts w:eastAsia="Times New Roman"/>
                <w:color w:val="000000"/>
                <w:sz w:val="22"/>
                <w:szCs w:val="22"/>
                <w:lang w:eastAsia="en-GB"/>
              </w:rPr>
            </w:pPr>
          </w:p>
        </w:tc>
      </w:tr>
      <w:tr w:rsidR="00FC2B93" w:rsidRPr="00BB10D7" w:rsidTr="00FC2B93">
        <w:trPr>
          <w:trHeight w:val="315"/>
        </w:trPr>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FC2B93" w:rsidRPr="00BB10D7" w:rsidRDefault="00FC2B93" w:rsidP="002A3204">
            <w:pPr>
              <w:rPr>
                <w:rFonts w:eastAsia="Times New Roman"/>
                <w:b/>
                <w:bCs/>
                <w:color w:val="000000"/>
                <w:sz w:val="20"/>
                <w:szCs w:val="22"/>
                <w:lang w:eastAsia="en-GB"/>
              </w:rPr>
            </w:pPr>
            <w:r w:rsidRPr="00BB10D7">
              <w:rPr>
                <w:rFonts w:eastAsia="Times New Roman"/>
                <w:b/>
                <w:bCs/>
                <w:color w:val="000000"/>
                <w:sz w:val="20"/>
                <w:szCs w:val="22"/>
                <w:lang w:eastAsia="en-GB"/>
              </w:rPr>
              <w:t>Gender</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FC2B93" w:rsidRPr="00BB10D7" w:rsidRDefault="00FC2B93"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FC2B93" w:rsidRPr="00BB10D7" w:rsidRDefault="00FC2B93"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Number</w:t>
            </w:r>
          </w:p>
        </w:tc>
        <w:tc>
          <w:tcPr>
            <w:tcW w:w="400" w:type="dxa"/>
            <w:tcBorders>
              <w:top w:val="nil"/>
              <w:left w:val="nil"/>
              <w:bottom w:val="nil"/>
              <w:right w:val="nil"/>
            </w:tcBorders>
            <w:shd w:val="clear" w:color="auto" w:fill="auto"/>
            <w:noWrap/>
            <w:vAlign w:val="bottom"/>
            <w:hideMark/>
          </w:tcPr>
          <w:p w:rsidR="00FC2B93" w:rsidRPr="00BB10D7" w:rsidRDefault="00FC2B93" w:rsidP="002A3204">
            <w:pPr>
              <w:rPr>
                <w:rFonts w:eastAsia="Times New Roman"/>
                <w:color w:val="000000"/>
                <w:sz w:val="20"/>
                <w:szCs w:val="22"/>
                <w:lang w:eastAsia="en-GB"/>
              </w:rPr>
            </w:pPr>
          </w:p>
        </w:tc>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FC2B93" w:rsidRPr="00BB10D7" w:rsidRDefault="00FC2B93" w:rsidP="002A3204">
            <w:pPr>
              <w:rPr>
                <w:rFonts w:eastAsia="Times New Roman"/>
                <w:b/>
                <w:bCs/>
                <w:color w:val="000000"/>
                <w:sz w:val="20"/>
                <w:szCs w:val="22"/>
                <w:lang w:eastAsia="en-GB"/>
              </w:rPr>
            </w:pPr>
            <w:r w:rsidRPr="00BB10D7">
              <w:rPr>
                <w:rFonts w:eastAsia="Times New Roman"/>
                <w:b/>
                <w:bCs/>
                <w:color w:val="000000"/>
                <w:sz w:val="20"/>
                <w:szCs w:val="22"/>
                <w:lang w:eastAsia="en-GB"/>
              </w:rPr>
              <w:t>Gender</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FC2B93" w:rsidRPr="00BB10D7" w:rsidRDefault="00FC2B93"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FC2B93" w:rsidRPr="00BB10D7" w:rsidRDefault="00FC2B93"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Number</w:t>
            </w:r>
          </w:p>
        </w:tc>
        <w:tc>
          <w:tcPr>
            <w:tcW w:w="400" w:type="dxa"/>
            <w:tcBorders>
              <w:top w:val="nil"/>
              <w:left w:val="nil"/>
              <w:bottom w:val="nil"/>
              <w:right w:val="nil"/>
            </w:tcBorders>
            <w:shd w:val="clear" w:color="auto" w:fill="auto"/>
            <w:noWrap/>
            <w:vAlign w:val="bottom"/>
            <w:hideMark/>
          </w:tcPr>
          <w:p w:rsidR="00FC2B93" w:rsidRPr="00BB10D7" w:rsidRDefault="00FC2B93" w:rsidP="002A3204">
            <w:pPr>
              <w:rPr>
                <w:rFonts w:eastAsia="Times New Roman"/>
                <w:color w:val="000000"/>
                <w:sz w:val="20"/>
                <w:szCs w:val="22"/>
                <w:lang w:eastAsia="en-GB"/>
              </w:rPr>
            </w:pPr>
          </w:p>
        </w:tc>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FC2B93" w:rsidRPr="00BB10D7" w:rsidRDefault="00FC2B93" w:rsidP="002A3204">
            <w:pPr>
              <w:rPr>
                <w:rFonts w:eastAsia="Times New Roman"/>
                <w:b/>
                <w:bCs/>
                <w:color w:val="000000"/>
                <w:sz w:val="20"/>
                <w:szCs w:val="22"/>
                <w:lang w:eastAsia="en-GB"/>
              </w:rPr>
            </w:pPr>
            <w:r w:rsidRPr="00BB10D7">
              <w:rPr>
                <w:rFonts w:eastAsia="Times New Roman"/>
                <w:b/>
                <w:bCs/>
                <w:color w:val="000000"/>
                <w:sz w:val="20"/>
                <w:szCs w:val="22"/>
                <w:lang w:eastAsia="en-GB"/>
              </w:rPr>
              <w:t>Gender</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FC2B93" w:rsidRPr="00BB10D7" w:rsidRDefault="00FC2B93"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FC2B93" w:rsidRPr="00BB10D7" w:rsidRDefault="00FC2B93"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Number</w:t>
            </w:r>
          </w:p>
        </w:tc>
      </w:tr>
      <w:tr w:rsidR="00DF2299" w:rsidRPr="00BB10D7" w:rsidTr="005E3DC3">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DF2299" w:rsidRPr="00BB10D7" w:rsidRDefault="00DF2299" w:rsidP="002A3204">
            <w:pPr>
              <w:rPr>
                <w:rFonts w:eastAsia="Times New Roman"/>
                <w:color w:val="000000"/>
                <w:sz w:val="20"/>
                <w:szCs w:val="22"/>
                <w:lang w:eastAsia="en-GB"/>
              </w:rPr>
            </w:pPr>
            <w:r w:rsidRPr="00BB10D7">
              <w:rPr>
                <w:rFonts w:eastAsia="Times New Roman"/>
                <w:color w:val="000000"/>
                <w:sz w:val="20"/>
                <w:szCs w:val="22"/>
                <w:lang w:eastAsia="en-GB"/>
              </w:rPr>
              <w:t>Female</w:t>
            </w:r>
          </w:p>
        </w:tc>
        <w:tc>
          <w:tcPr>
            <w:tcW w:w="1510" w:type="dxa"/>
            <w:tcBorders>
              <w:top w:val="nil"/>
              <w:left w:val="nil"/>
              <w:bottom w:val="single" w:sz="8" w:space="0" w:color="auto"/>
              <w:right w:val="single" w:sz="8" w:space="0" w:color="auto"/>
            </w:tcBorders>
            <w:shd w:val="clear" w:color="auto" w:fill="auto"/>
            <w:noWrap/>
            <w:vAlign w:val="center"/>
            <w:hideMark/>
          </w:tcPr>
          <w:p w:rsidR="00DF2299" w:rsidRPr="00BB10D7" w:rsidRDefault="00DF2299" w:rsidP="002A3204">
            <w:pPr>
              <w:jc w:val="center"/>
              <w:rPr>
                <w:rFonts w:eastAsia="Times New Roman"/>
                <w:color w:val="000000"/>
                <w:sz w:val="20"/>
                <w:szCs w:val="22"/>
                <w:lang w:eastAsia="en-GB"/>
              </w:rPr>
            </w:pPr>
            <w:r w:rsidRPr="00BB10D7">
              <w:rPr>
                <w:rFonts w:eastAsia="Times New Roman"/>
                <w:color w:val="000000"/>
                <w:sz w:val="20"/>
                <w:szCs w:val="22"/>
                <w:lang w:eastAsia="en-GB"/>
              </w:rPr>
              <w:t>34.53</w:t>
            </w:r>
          </w:p>
        </w:tc>
        <w:tc>
          <w:tcPr>
            <w:tcW w:w="1123" w:type="dxa"/>
            <w:tcBorders>
              <w:top w:val="nil"/>
              <w:left w:val="nil"/>
              <w:bottom w:val="single" w:sz="8" w:space="0" w:color="auto"/>
              <w:right w:val="single" w:sz="8" w:space="0" w:color="auto"/>
            </w:tcBorders>
            <w:shd w:val="clear" w:color="auto" w:fill="auto"/>
            <w:noWrap/>
            <w:vAlign w:val="center"/>
            <w:hideMark/>
          </w:tcPr>
          <w:p w:rsidR="00DF2299" w:rsidRPr="00BB10D7" w:rsidRDefault="00DF2299" w:rsidP="002A3204">
            <w:pPr>
              <w:jc w:val="center"/>
              <w:rPr>
                <w:rFonts w:eastAsia="Times New Roman"/>
                <w:color w:val="000000"/>
                <w:sz w:val="20"/>
                <w:szCs w:val="22"/>
                <w:lang w:eastAsia="en-GB"/>
              </w:rPr>
            </w:pPr>
            <w:r w:rsidRPr="00BB10D7">
              <w:rPr>
                <w:rFonts w:eastAsia="Times New Roman"/>
                <w:color w:val="000000"/>
                <w:sz w:val="20"/>
                <w:szCs w:val="22"/>
                <w:lang w:eastAsia="en-GB"/>
              </w:rPr>
              <w:t>433</w:t>
            </w:r>
          </w:p>
        </w:tc>
        <w:tc>
          <w:tcPr>
            <w:tcW w:w="400" w:type="dxa"/>
            <w:tcBorders>
              <w:top w:val="nil"/>
              <w:left w:val="nil"/>
              <w:bottom w:val="nil"/>
              <w:right w:val="nil"/>
            </w:tcBorders>
            <w:shd w:val="clear" w:color="auto" w:fill="auto"/>
            <w:noWrap/>
            <w:vAlign w:val="bottom"/>
            <w:hideMark/>
          </w:tcPr>
          <w:p w:rsidR="00DF2299" w:rsidRPr="00BB10D7" w:rsidRDefault="00DF2299"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DF2299" w:rsidRPr="00BB10D7" w:rsidRDefault="00DF2299" w:rsidP="002A3204">
            <w:pPr>
              <w:rPr>
                <w:rFonts w:eastAsia="Times New Roman"/>
                <w:color w:val="000000"/>
                <w:sz w:val="20"/>
                <w:szCs w:val="22"/>
                <w:lang w:eastAsia="en-GB"/>
              </w:rPr>
            </w:pPr>
            <w:r w:rsidRPr="00BB10D7">
              <w:rPr>
                <w:rFonts w:eastAsia="Times New Roman"/>
                <w:color w:val="000000"/>
                <w:sz w:val="20"/>
                <w:szCs w:val="22"/>
                <w:lang w:eastAsia="en-GB"/>
              </w:rPr>
              <w:t>Female</w:t>
            </w:r>
          </w:p>
        </w:tc>
        <w:tc>
          <w:tcPr>
            <w:tcW w:w="1510" w:type="dxa"/>
            <w:tcBorders>
              <w:top w:val="nil"/>
              <w:left w:val="nil"/>
              <w:bottom w:val="single" w:sz="8" w:space="0" w:color="auto"/>
              <w:right w:val="single" w:sz="8" w:space="0" w:color="auto"/>
            </w:tcBorders>
            <w:shd w:val="clear" w:color="auto" w:fill="auto"/>
            <w:noWrap/>
            <w:hideMark/>
          </w:tcPr>
          <w:p w:rsidR="00DF2299" w:rsidRPr="00DF2299" w:rsidRDefault="00DF2299" w:rsidP="00DF2299">
            <w:pPr>
              <w:jc w:val="center"/>
              <w:rPr>
                <w:sz w:val="20"/>
              </w:rPr>
            </w:pPr>
            <w:r w:rsidRPr="00DF2299">
              <w:rPr>
                <w:sz w:val="20"/>
              </w:rPr>
              <w:t>35.29</w:t>
            </w:r>
          </w:p>
        </w:tc>
        <w:tc>
          <w:tcPr>
            <w:tcW w:w="1123" w:type="dxa"/>
            <w:tcBorders>
              <w:top w:val="nil"/>
              <w:left w:val="nil"/>
              <w:bottom w:val="single" w:sz="8" w:space="0" w:color="auto"/>
              <w:right w:val="single" w:sz="8" w:space="0" w:color="auto"/>
            </w:tcBorders>
            <w:shd w:val="clear" w:color="auto" w:fill="auto"/>
            <w:noWrap/>
            <w:hideMark/>
          </w:tcPr>
          <w:p w:rsidR="00DF2299" w:rsidRPr="00DF2299" w:rsidRDefault="00DF2299" w:rsidP="00DF2299">
            <w:pPr>
              <w:jc w:val="center"/>
              <w:rPr>
                <w:sz w:val="20"/>
              </w:rPr>
            </w:pPr>
            <w:r w:rsidRPr="00DF2299">
              <w:rPr>
                <w:sz w:val="20"/>
              </w:rPr>
              <w:t>463</w:t>
            </w:r>
          </w:p>
        </w:tc>
        <w:tc>
          <w:tcPr>
            <w:tcW w:w="400" w:type="dxa"/>
            <w:tcBorders>
              <w:top w:val="nil"/>
              <w:left w:val="nil"/>
              <w:bottom w:val="nil"/>
              <w:right w:val="nil"/>
            </w:tcBorders>
            <w:shd w:val="clear" w:color="auto" w:fill="auto"/>
            <w:noWrap/>
            <w:vAlign w:val="bottom"/>
            <w:hideMark/>
          </w:tcPr>
          <w:p w:rsidR="00DF2299" w:rsidRPr="00BB10D7" w:rsidRDefault="00DF2299"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DF2299" w:rsidRPr="00BB10D7" w:rsidRDefault="00DF2299" w:rsidP="002A3204">
            <w:pPr>
              <w:rPr>
                <w:rFonts w:eastAsia="Times New Roman"/>
                <w:color w:val="000000"/>
                <w:sz w:val="20"/>
                <w:szCs w:val="22"/>
                <w:lang w:eastAsia="en-GB"/>
              </w:rPr>
            </w:pPr>
            <w:r w:rsidRPr="00BB10D7">
              <w:rPr>
                <w:rFonts w:eastAsia="Times New Roman"/>
                <w:color w:val="000000"/>
                <w:sz w:val="20"/>
                <w:szCs w:val="22"/>
                <w:lang w:eastAsia="en-GB"/>
              </w:rPr>
              <w:t>Female</w:t>
            </w:r>
          </w:p>
        </w:tc>
        <w:tc>
          <w:tcPr>
            <w:tcW w:w="1510" w:type="dxa"/>
            <w:tcBorders>
              <w:top w:val="nil"/>
              <w:left w:val="nil"/>
              <w:bottom w:val="single" w:sz="8" w:space="0" w:color="auto"/>
              <w:right w:val="single" w:sz="8" w:space="0" w:color="auto"/>
            </w:tcBorders>
            <w:shd w:val="clear" w:color="auto" w:fill="auto"/>
            <w:noWrap/>
            <w:vAlign w:val="center"/>
          </w:tcPr>
          <w:p w:rsidR="00DF2299" w:rsidRPr="00BB10D7" w:rsidRDefault="008866A0" w:rsidP="002A3204">
            <w:pPr>
              <w:jc w:val="center"/>
              <w:rPr>
                <w:rFonts w:eastAsia="Times New Roman"/>
                <w:color w:val="000000"/>
                <w:sz w:val="20"/>
                <w:szCs w:val="22"/>
                <w:lang w:eastAsia="en-GB"/>
              </w:rPr>
            </w:pPr>
            <w:r>
              <w:rPr>
                <w:rFonts w:eastAsia="Times New Roman"/>
                <w:color w:val="000000"/>
                <w:sz w:val="20"/>
                <w:szCs w:val="22"/>
                <w:lang w:eastAsia="en-GB"/>
              </w:rPr>
              <w:t>35.59</w:t>
            </w:r>
          </w:p>
        </w:tc>
        <w:tc>
          <w:tcPr>
            <w:tcW w:w="1123" w:type="dxa"/>
            <w:tcBorders>
              <w:top w:val="nil"/>
              <w:left w:val="nil"/>
              <w:bottom w:val="single" w:sz="8" w:space="0" w:color="auto"/>
              <w:right w:val="single" w:sz="8" w:space="0" w:color="auto"/>
            </w:tcBorders>
            <w:shd w:val="clear" w:color="auto" w:fill="auto"/>
            <w:noWrap/>
            <w:vAlign w:val="center"/>
          </w:tcPr>
          <w:p w:rsidR="00DF2299" w:rsidRPr="00BB10D7" w:rsidRDefault="008866A0" w:rsidP="002A3204">
            <w:pPr>
              <w:jc w:val="center"/>
              <w:rPr>
                <w:rFonts w:eastAsia="Times New Roman"/>
                <w:color w:val="000000"/>
                <w:sz w:val="20"/>
                <w:szCs w:val="22"/>
                <w:lang w:eastAsia="en-GB"/>
              </w:rPr>
            </w:pPr>
            <w:r>
              <w:rPr>
                <w:rFonts w:eastAsia="Times New Roman"/>
                <w:color w:val="000000"/>
                <w:sz w:val="20"/>
                <w:szCs w:val="22"/>
                <w:lang w:eastAsia="en-GB"/>
              </w:rPr>
              <w:t>473</w:t>
            </w:r>
          </w:p>
        </w:tc>
      </w:tr>
      <w:tr w:rsidR="00DF2299" w:rsidRPr="00BB10D7" w:rsidTr="005E3DC3">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DF2299" w:rsidRPr="00BB10D7" w:rsidRDefault="00DF2299" w:rsidP="002A3204">
            <w:pPr>
              <w:rPr>
                <w:rFonts w:eastAsia="Times New Roman"/>
                <w:color w:val="000000"/>
                <w:sz w:val="20"/>
                <w:szCs w:val="22"/>
                <w:lang w:eastAsia="en-GB"/>
              </w:rPr>
            </w:pPr>
            <w:r w:rsidRPr="00BB10D7">
              <w:rPr>
                <w:rFonts w:eastAsia="Times New Roman"/>
                <w:color w:val="000000"/>
                <w:sz w:val="20"/>
                <w:szCs w:val="22"/>
                <w:lang w:eastAsia="en-GB"/>
              </w:rPr>
              <w:t>Male</w:t>
            </w:r>
          </w:p>
        </w:tc>
        <w:tc>
          <w:tcPr>
            <w:tcW w:w="1510" w:type="dxa"/>
            <w:tcBorders>
              <w:top w:val="nil"/>
              <w:left w:val="nil"/>
              <w:bottom w:val="single" w:sz="8" w:space="0" w:color="auto"/>
              <w:right w:val="single" w:sz="8" w:space="0" w:color="auto"/>
            </w:tcBorders>
            <w:shd w:val="clear" w:color="auto" w:fill="auto"/>
            <w:noWrap/>
            <w:vAlign w:val="center"/>
            <w:hideMark/>
          </w:tcPr>
          <w:p w:rsidR="00DF2299" w:rsidRPr="00BB10D7" w:rsidRDefault="00DF2299" w:rsidP="002A3204">
            <w:pPr>
              <w:jc w:val="center"/>
              <w:rPr>
                <w:rFonts w:eastAsia="Times New Roman"/>
                <w:color w:val="000000"/>
                <w:sz w:val="20"/>
                <w:szCs w:val="22"/>
                <w:lang w:eastAsia="en-GB"/>
              </w:rPr>
            </w:pPr>
            <w:r w:rsidRPr="00BB10D7">
              <w:rPr>
                <w:rFonts w:eastAsia="Times New Roman"/>
                <w:color w:val="000000"/>
                <w:sz w:val="20"/>
                <w:szCs w:val="22"/>
                <w:lang w:eastAsia="en-GB"/>
              </w:rPr>
              <w:t>65.47</w:t>
            </w:r>
          </w:p>
        </w:tc>
        <w:tc>
          <w:tcPr>
            <w:tcW w:w="1123" w:type="dxa"/>
            <w:tcBorders>
              <w:top w:val="nil"/>
              <w:left w:val="nil"/>
              <w:bottom w:val="single" w:sz="8" w:space="0" w:color="auto"/>
              <w:right w:val="single" w:sz="8" w:space="0" w:color="auto"/>
            </w:tcBorders>
            <w:shd w:val="clear" w:color="auto" w:fill="auto"/>
            <w:noWrap/>
            <w:vAlign w:val="center"/>
            <w:hideMark/>
          </w:tcPr>
          <w:p w:rsidR="00DF2299" w:rsidRPr="00BB10D7" w:rsidRDefault="00DF2299" w:rsidP="002A3204">
            <w:pPr>
              <w:jc w:val="center"/>
              <w:rPr>
                <w:rFonts w:eastAsia="Times New Roman"/>
                <w:color w:val="000000"/>
                <w:sz w:val="20"/>
                <w:szCs w:val="22"/>
                <w:lang w:eastAsia="en-GB"/>
              </w:rPr>
            </w:pPr>
            <w:r w:rsidRPr="00BB10D7">
              <w:rPr>
                <w:rFonts w:eastAsia="Times New Roman"/>
                <w:color w:val="000000"/>
                <w:sz w:val="20"/>
                <w:szCs w:val="22"/>
                <w:lang w:eastAsia="en-GB"/>
              </w:rPr>
              <w:t>821</w:t>
            </w:r>
          </w:p>
        </w:tc>
        <w:tc>
          <w:tcPr>
            <w:tcW w:w="400" w:type="dxa"/>
            <w:tcBorders>
              <w:top w:val="nil"/>
              <w:left w:val="nil"/>
              <w:bottom w:val="nil"/>
              <w:right w:val="nil"/>
            </w:tcBorders>
            <w:shd w:val="clear" w:color="auto" w:fill="auto"/>
            <w:noWrap/>
            <w:vAlign w:val="bottom"/>
            <w:hideMark/>
          </w:tcPr>
          <w:p w:rsidR="00DF2299" w:rsidRPr="00BB10D7" w:rsidRDefault="00DF2299"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DF2299" w:rsidRPr="00BB10D7" w:rsidRDefault="00DF2299" w:rsidP="002A3204">
            <w:pPr>
              <w:rPr>
                <w:rFonts w:eastAsia="Times New Roman"/>
                <w:color w:val="000000"/>
                <w:sz w:val="20"/>
                <w:szCs w:val="22"/>
                <w:lang w:eastAsia="en-GB"/>
              </w:rPr>
            </w:pPr>
            <w:r w:rsidRPr="00BB10D7">
              <w:rPr>
                <w:rFonts w:eastAsia="Times New Roman"/>
                <w:color w:val="000000"/>
                <w:sz w:val="20"/>
                <w:szCs w:val="22"/>
                <w:lang w:eastAsia="en-GB"/>
              </w:rPr>
              <w:t>Male</w:t>
            </w:r>
          </w:p>
        </w:tc>
        <w:tc>
          <w:tcPr>
            <w:tcW w:w="1510" w:type="dxa"/>
            <w:tcBorders>
              <w:top w:val="nil"/>
              <w:left w:val="nil"/>
              <w:bottom w:val="single" w:sz="8" w:space="0" w:color="auto"/>
              <w:right w:val="single" w:sz="8" w:space="0" w:color="auto"/>
            </w:tcBorders>
            <w:shd w:val="clear" w:color="auto" w:fill="auto"/>
            <w:noWrap/>
            <w:hideMark/>
          </w:tcPr>
          <w:p w:rsidR="00DF2299" w:rsidRPr="00DF2299" w:rsidRDefault="00DF2299" w:rsidP="00DF2299">
            <w:pPr>
              <w:jc w:val="center"/>
              <w:rPr>
                <w:sz w:val="20"/>
              </w:rPr>
            </w:pPr>
            <w:r w:rsidRPr="00DF2299">
              <w:rPr>
                <w:sz w:val="20"/>
              </w:rPr>
              <w:t>64.71</w:t>
            </w:r>
          </w:p>
        </w:tc>
        <w:tc>
          <w:tcPr>
            <w:tcW w:w="1123" w:type="dxa"/>
            <w:tcBorders>
              <w:top w:val="nil"/>
              <w:left w:val="nil"/>
              <w:bottom w:val="single" w:sz="8" w:space="0" w:color="auto"/>
              <w:right w:val="single" w:sz="8" w:space="0" w:color="auto"/>
            </w:tcBorders>
            <w:shd w:val="clear" w:color="auto" w:fill="auto"/>
            <w:noWrap/>
            <w:hideMark/>
          </w:tcPr>
          <w:p w:rsidR="00DF2299" w:rsidRPr="00DF2299" w:rsidRDefault="00DF2299" w:rsidP="00DF2299">
            <w:pPr>
              <w:jc w:val="center"/>
              <w:rPr>
                <w:sz w:val="20"/>
              </w:rPr>
            </w:pPr>
            <w:r w:rsidRPr="00DF2299">
              <w:rPr>
                <w:sz w:val="20"/>
              </w:rPr>
              <w:t>849</w:t>
            </w:r>
          </w:p>
        </w:tc>
        <w:tc>
          <w:tcPr>
            <w:tcW w:w="400" w:type="dxa"/>
            <w:tcBorders>
              <w:top w:val="nil"/>
              <w:left w:val="nil"/>
              <w:bottom w:val="nil"/>
              <w:right w:val="nil"/>
            </w:tcBorders>
            <w:shd w:val="clear" w:color="auto" w:fill="auto"/>
            <w:noWrap/>
            <w:vAlign w:val="bottom"/>
            <w:hideMark/>
          </w:tcPr>
          <w:p w:rsidR="00DF2299" w:rsidRPr="00BB10D7" w:rsidRDefault="00DF2299"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DF2299" w:rsidRPr="00BB10D7" w:rsidRDefault="00DF2299" w:rsidP="002A3204">
            <w:pPr>
              <w:rPr>
                <w:rFonts w:eastAsia="Times New Roman"/>
                <w:color w:val="000000"/>
                <w:sz w:val="20"/>
                <w:szCs w:val="22"/>
                <w:lang w:eastAsia="en-GB"/>
              </w:rPr>
            </w:pPr>
            <w:r w:rsidRPr="00BB10D7">
              <w:rPr>
                <w:rFonts w:eastAsia="Times New Roman"/>
                <w:color w:val="000000"/>
                <w:sz w:val="20"/>
                <w:szCs w:val="22"/>
                <w:lang w:eastAsia="en-GB"/>
              </w:rPr>
              <w:t>Male</w:t>
            </w:r>
          </w:p>
        </w:tc>
        <w:tc>
          <w:tcPr>
            <w:tcW w:w="1510" w:type="dxa"/>
            <w:tcBorders>
              <w:top w:val="nil"/>
              <w:left w:val="nil"/>
              <w:bottom w:val="single" w:sz="8" w:space="0" w:color="auto"/>
              <w:right w:val="single" w:sz="8" w:space="0" w:color="auto"/>
            </w:tcBorders>
            <w:shd w:val="clear" w:color="auto" w:fill="auto"/>
            <w:noWrap/>
            <w:vAlign w:val="center"/>
          </w:tcPr>
          <w:p w:rsidR="00DF2299" w:rsidRPr="00BB10D7" w:rsidRDefault="008866A0" w:rsidP="002A3204">
            <w:pPr>
              <w:jc w:val="center"/>
              <w:rPr>
                <w:rFonts w:eastAsia="Times New Roman"/>
                <w:color w:val="000000"/>
                <w:sz w:val="20"/>
                <w:szCs w:val="22"/>
                <w:lang w:eastAsia="en-GB"/>
              </w:rPr>
            </w:pPr>
            <w:r>
              <w:rPr>
                <w:rFonts w:eastAsia="Times New Roman"/>
                <w:color w:val="000000"/>
                <w:sz w:val="20"/>
                <w:szCs w:val="22"/>
                <w:lang w:eastAsia="en-GB"/>
              </w:rPr>
              <w:t>64.41</w:t>
            </w:r>
          </w:p>
        </w:tc>
        <w:tc>
          <w:tcPr>
            <w:tcW w:w="1123" w:type="dxa"/>
            <w:tcBorders>
              <w:top w:val="nil"/>
              <w:left w:val="nil"/>
              <w:bottom w:val="single" w:sz="8" w:space="0" w:color="auto"/>
              <w:right w:val="single" w:sz="8" w:space="0" w:color="auto"/>
            </w:tcBorders>
            <w:shd w:val="clear" w:color="auto" w:fill="auto"/>
            <w:noWrap/>
            <w:vAlign w:val="center"/>
          </w:tcPr>
          <w:p w:rsidR="00DF2299" w:rsidRPr="00BB10D7" w:rsidRDefault="008866A0" w:rsidP="002A3204">
            <w:pPr>
              <w:jc w:val="center"/>
              <w:rPr>
                <w:rFonts w:eastAsia="Times New Roman"/>
                <w:color w:val="000000"/>
                <w:sz w:val="20"/>
                <w:szCs w:val="22"/>
                <w:lang w:eastAsia="en-GB"/>
              </w:rPr>
            </w:pPr>
            <w:r>
              <w:rPr>
                <w:rFonts w:eastAsia="Times New Roman"/>
                <w:color w:val="000000"/>
                <w:sz w:val="20"/>
                <w:szCs w:val="22"/>
                <w:lang w:eastAsia="en-GB"/>
              </w:rPr>
              <w:t>856</w:t>
            </w:r>
          </w:p>
        </w:tc>
      </w:tr>
      <w:tr w:rsidR="00FC2B93" w:rsidRPr="00BB10D7" w:rsidTr="00FC2B93">
        <w:trPr>
          <w:trHeight w:val="315"/>
        </w:trPr>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FC2B93" w:rsidRPr="00BB10D7" w:rsidRDefault="00FC2B93" w:rsidP="002A3204">
            <w:pPr>
              <w:rPr>
                <w:rFonts w:eastAsia="Times New Roman"/>
                <w:b/>
                <w:bCs/>
                <w:color w:val="000000"/>
                <w:sz w:val="20"/>
                <w:szCs w:val="22"/>
                <w:lang w:eastAsia="en-GB"/>
              </w:rPr>
            </w:pPr>
            <w:r w:rsidRPr="00BB10D7">
              <w:rPr>
                <w:rFonts w:eastAsia="Times New Roman"/>
                <w:b/>
                <w:bCs/>
                <w:color w:val="000000"/>
                <w:sz w:val="20"/>
                <w:szCs w:val="22"/>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FC2B93" w:rsidRPr="00BB10D7" w:rsidRDefault="00FC2B93" w:rsidP="00BB10D7">
            <w:pPr>
              <w:jc w:val="center"/>
              <w:rPr>
                <w:rFonts w:eastAsia="Times New Roman"/>
                <w:b/>
                <w:bCs/>
                <w:color w:val="000000"/>
                <w:sz w:val="20"/>
                <w:szCs w:val="22"/>
                <w:lang w:eastAsia="en-GB"/>
              </w:rPr>
            </w:pPr>
            <w:r w:rsidRPr="00BB10D7">
              <w:rPr>
                <w:rFonts w:eastAsia="Times New Roman"/>
                <w:b/>
                <w:bCs/>
                <w:color w:val="000000"/>
                <w:sz w:val="20"/>
                <w:szCs w:val="22"/>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FC2B93" w:rsidRPr="00BB10D7" w:rsidRDefault="00FC2B93"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1254</w:t>
            </w:r>
          </w:p>
        </w:tc>
        <w:tc>
          <w:tcPr>
            <w:tcW w:w="400" w:type="dxa"/>
            <w:tcBorders>
              <w:top w:val="nil"/>
              <w:left w:val="nil"/>
              <w:bottom w:val="nil"/>
              <w:right w:val="nil"/>
            </w:tcBorders>
            <w:shd w:val="clear" w:color="auto" w:fill="auto"/>
            <w:noWrap/>
            <w:vAlign w:val="bottom"/>
            <w:hideMark/>
          </w:tcPr>
          <w:p w:rsidR="00FC2B93" w:rsidRPr="00BB10D7" w:rsidRDefault="00FC2B93"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FC2B93" w:rsidRPr="00BB10D7" w:rsidRDefault="00FC2B93" w:rsidP="002A3204">
            <w:pPr>
              <w:rPr>
                <w:rFonts w:eastAsia="Times New Roman"/>
                <w:b/>
                <w:bCs/>
                <w:color w:val="000000"/>
                <w:sz w:val="20"/>
                <w:szCs w:val="22"/>
                <w:lang w:eastAsia="en-GB"/>
              </w:rPr>
            </w:pPr>
            <w:r w:rsidRPr="00BB10D7">
              <w:rPr>
                <w:rFonts w:eastAsia="Times New Roman"/>
                <w:b/>
                <w:bCs/>
                <w:color w:val="000000"/>
                <w:sz w:val="20"/>
                <w:szCs w:val="22"/>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FC2B93" w:rsidRPr="00BB10D7" w:rsidRDefault="00FC2B93" w:rsidP="00BB10D7">
            <w:pPr>
              <w:jc w:val="center"/>
              <w:rPr>
                <w:rFonts w:eastAsia="Times New Roman"/>
                <w:b/>
                <w:bCs/>
                <w:color w:val="000000"/>
                <w:sz w:val="20"/>
                <w:szCs w:val="22"/>
                <w:lang w:eastAsia="en-GB"/>
              </w:rPr>
            </w:pPr>
            <w:r w:rsidRPr="00BB10D7">
              <w:rPr>
                <w:rFonts w:eastAsia="Times New Roman"/>
                <w:b/>
                <w:bCs/>
                <w:color w:val="000000"/>
                <w:sz w:val="20"/>
                <w:szCs w:val="22"/>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FC2B93" w:rsidRPr="00BB10D7" w:rsidRDefault="00FC2B93"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1321</w:t>
            </w:r>
          </w:p>
        </w:tc>
        <w:tc>
          <w:tcPr>
            <w:tcW w:w="400" w:type="dxa"/>
            <w:tcBorders>
              <w:top w:val="nil"/>
              <w:left w:val="nil"/>
              <w:bottom w:val="nil"/>
              <w:right w:val="nil"/>
            </w:tcBorders>
            <w:shd w:val="clear" w:color="auto" w:fill="auto"/>
            <w:noWrap/>
            <w:vAlign w:val="bottom"/>
            <w:hideMark/>
          </w:tcPr>
          <w:p w:rsidR="00FC2B93" w:rsidRPr="00BB10D7" w:rsidRDefault="00FC2B93"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FC2B93" w:rsidRPr="00BB10D7" w:rsidRDefault="00FC2B93" w:rsidP="002A3204">
            <w:pPr>
              <w:rPr>
                <w:rFonts w:eastAsia="Times New Roman"/>
                <w:b/>
                <w:bCs/>
                <w:color w:val="000000"/>
                <w:sz w:val="20"/>
                <w:szCs w:val="22"/>
                <w:lang w:eastAsia="en-GB"/>
              </w:rPr>
            </w:pPr>
            <w:r w:rsidRPr="00BB10D7">
              <w:rPr>
                <w:rFonts w:eastAsia="Times New Roman"/>
                <w:b/>
                <w:bCs/>
                <w:color w:val="000000"/>
                <w:sz w:val="20"/>
                <w:szCs w:val="22"/>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FC2B93" w:rsidRPr="00BB10D7" w:rsidRDefault="00FC2B93" w:rsidP="00BB10D7">
            <w:pPr>
              <w:jc w:val="center"/>
              <w:rPr>
                <w:rFonts w:eastAsia="Times New Roman"/>
                <w:b/>
                <w:bCs/>
                <w:color w:val="000000"/>
                <w:sz w:val="20"/>
                <w:szCs w:val="22"/>
                <w:lang w:eastAsia="en-GB"/>
              </w:rPr>
            </w:pPr>
            <w:r w:rsidRPr="00BB10D7">
              <w:rPr>
                <w:rFonts w:eastAsia="Times New Roman"/>
                <w:b/>
                <w:bCs/>
                <w:color w:val="000000"/>
                <w:sz w:val="20"/>
                <w:szCs w:val="22"/>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FC2B93" w:rsidRPr="00BB10D7" w:rsidRDefault="008866A0" w:rsidP="002A3204">
            <w:pPr>
              <w:jc w:val="center"/>
              <w:rPr>
                <w:rFonts w:eastAsia="Times New Roman"/>
                <w:b/>
                <w:bCs/>
                <w:color w:val="000000"/>
                <w:sz w:val="20"/>
                <w:szCs w:val="22"/>
                <w:lang w:eastAsia="en-GB"/>
              </w:rPr>
            </w:pPr>
            <w:r>
              <w:rPr>
                <w:rFonts w:eastAsia="Times New Roman"/>
                <w:b/>
                <w:bCs/>
                <w:color w:val="000000"/>
                <w:sz w:val="20"/>
                <w:szCs w:val="22"/>
                <w:lang w:eastAsia="en-GB"/>
              </w:rPr>
              <w:t>1329</w:t>
            </w:r>
          </w:p>
        </w:tc>
      </w:tr>
    </w:tbl>
    <w:p w:rsidR="00FC2B93" w:rsidRDefault="00FC2B93" w:rsidP="008A22C6">
      <w:pPr>
        <w:rPr>
          <w:sz w:val="22"/>
          <w:szCs w:val="22"/>
        </w:rPr>
      </w:pPr>
    </w:p>
    <w:p w:rsidR="00D27E5B" w:rsidRDefault="00D27E5B" w:rsidP="008A22C6">
      <w:pPr>
        <w:rPr>
          <w:szCs w:val="22"/>
        </w:rPr>
      </w:pPr>
      <w:r w:rsidRPr="000540D8">
        <w:rPr>
          <w:b/>
          <w:szCs w:val="22"/>
        </w:rPr>
        <w:t xml:space="preserve">Commentary: </w:t>
      </w:r>
      <w:r w:rsidRPr="000540D8">
        <w:rPr>
          <w:szCs w:val="22"/>
        </w:rPr>
        <w:t xml:space="preserve">The organisational headcount has increased steadily since </w:t>
      </w:r>
      <w:r w:rsidR="005B5547" w:rsidRPr="000540D8">
        <w:rPr>
          <w:szCs w:val="22"/>
        </w:rPr>
        <w:t>March 2016</w:t>
      </w:r>
      <w:r w:rsidR="001A4214" w:rsidRPr="000540D8">
        <w:rPr>
          <w:szCs w:val="22"/>
        </w:rPr>
        <w:t>, with</w:t>
      </w:r>
      <w:r w:rsidRPr="000540D8">
        <w:rPr>
          <w:szCs w:val="22"/>
        </w:rPr>
        <w:t xml:space="preserve"> the proportion of female </w:t>
      </w:r>
      <w:r w:rsidR="001A4214" w:rsidRPr="000540D8">
        <w:rPr>
          <w:szCs w:val="22"/>
        </w:rPr>
        <w:t>staff</w:t>
      </w:r>
      <w:r w:rsidRPr="000540D8">
        <w:rPr>
          <w:szCs w:val="22"/>
        </w:rPr>
        <w:t xml:space="preserve"> increas</w:t>
      </w:r>
      <w:r w:rsidR="001A4214" w:rsidRPr="000540D8">
        <w:rPr>
          <w:szCs w:val="22"/>
        </w:rPr>
        <w:t>ing</w:t>
      </w:r>
      <w:r w:rsidRPr="000540D8">
        <w:rPr>
          <w:szCs w:val="22"/>
        </w:rPr>
        <w:t xml:space="preserve"> slightly over the same period. </w:t>
      </w:r>
      <w:r w:rsidR="004F7AE3" w:rsidRPr="000540D8">
        <w:rPr>
          <w:szCs w:val="22"/>
        </w:rPr>
        <w:t>Although t</w:t>
      </w:r>
      <w:r w:rsidRPr="000540D8">
        <w:rPr>
          <w:szCs w:val="22"/>
        </w:rPr>
        <w:t>he Council remains a predominantly male organisation</w:t>
      </w:r>
      <w:r w:rsidR="004F7AE3" w:rsidRPr="000540D8">
        <w:rPr>
          <w:szCs w:val="22"/>
        </w:rPr>
        <w:t>,</w:t>
      </w:r>
      <w:r w:rsidRPr="000540D8">
        <w:rPr>
          <w:szCs w:val="22"/>
        </w:rPr>
        <w:t xml:space="preserve"> reflect</w:t>
      </w:r>
      <w:r w:rsidR="004F7AE3" w:rsidRPr="000540D8">
        <w:rPr>
          <w:szCs w:val="22"/>
        </w:rPr>
        <w:t>ing</w:t>
      </w:r>
      <w:r w:rsidRPr="000540D8">
        <w:rPr>
          <w:szCs w:val="22"/>
        </w:rPr>
        <w:t xml:space="preserve"> the high participation rate of male employees within Direct Services</w:t>
      </w:r>
      <w:r w:rsidR="004F7AE3" w:rsidRPr="000540D8">
        <w:rPr>
          <w:szCs w:val="22"/>
        </w:rPr>
        <w:t>, the majority of other service areas have a higher proportion of female staff.</w:t>
      </w:r>
    </w:p>
    <w:p w:rsidR="00817F51" w:rsidRDefault="00817F51" w:rsidP="008A22C6">
      <w:pPr>
        <w:rPr>
          <w:szCs w:val="22"/>
        </w:rPr>
      </w:pPr>
    </w:p>
    <w:p w:rsidR="009B5E8B" w:rsidRDefault="009B5E8B" w:rsidP="009B5E8B">
      <w:pPr>
        <w:rPr>
          <w:sz w:val="22"/>
          <w:szCs w:val="22"/>
        </w:rPr>
      </w:pPr>
    </w:p>
    <w:p w:rsidR="009B5E8B" w:rsidRDefault="009B5E8B" w:rsidP="009B5E8B">
      <w:pPr>
        <w:rPr>
          <w:sz w:val="22"/>
          <w:szCs w:val="22"/>
        </w:rPr>
      </w:pPr>
    </w:p>
    <w:p w:rsidR="009B5E8B" w:rsidRDefault="009B5E8B" w:rsidP="009B5E8B">
      <w:pPr>
        <w:rPr>
          <w:sz w:val="22"/>
          <w:szCs w:val="22"/>
        </w:rPr>
      </w:pPr>
    </w:p>
    <w:p w:rsidR="009B5E8B" w:rsidRDefault="009B5E8B" w:rsidP="009B5E8B">
      <w:pPr>
        <w:rPr>
          <w:sz w:val="22"/>
          <w:szCs w:val="22"/>
        </w:rPr>
      </w:pPr>
    </w:p>
    <w:p w:rsidR="00817F51" w:rsidRDefault="00817F51" w:rsidP="008A22C6">
      <w:pPr>
        <w:rPr>
          <w:szCs w:val="22"/>
        </w:rPr>
      </w:pPr>
    </w:p>
    <w:p w:rsidR="00817F51" w:rsidRDefault="00817F51" w:rsidP="008A22C6">
      <w:pPr>
        <w:rPr>
          <w:szCs w:val="22"/>
        </w:rPr>
      </w:pPr>
    </w:p>
    <w:p w:rsidR="00793282" w:rsidRDefault="00793282">
      <w:pPr>
        <w:rPr>
          <w:b/>
          <w:szCs w:val="22"/>
        </w:rPr>
      </w:pPr>
      <w:r>
        <w:rPr>
          <w:b/>
          <w:szCs w:val="22"/>
        </w:rPr>
        <w:br w:type="page"/>
      </w:r>
    </w:p>
    <w:p w:rsidR="009B5E8B" w:rsidRDefault="009B5E8B" w:rsidP="009B5E8B">
      <w:pPr>
        <w:rPr>
          <w:b/>
          <w:szCs w:val="22"/>
        </w:rPr>
      </w:pPr>
      <w:r>
        <w:rPr>
          <w:b/>
          <w:szCs w:val="22"/>
        </w:rPr>
        <w:lastRenderedPageBreak/>
        <w:t>OXFORD GENERAL POPULATION DATA: ETHNICITY</w:t>
      </w:r>
    </w:p>
    <w:p w:rsidR="009B5E8B" w:rsidRDefault="009B5E8B" w:rsidP="008A22C6">
      <w:pPr>
        <w:rPr>
          <w:b/>
          <w:szCs w:val="22"/>
        </w:rPr>
      </w:pPr>
    </w:p>
    <w:p w:rsidR="009B5E8B" w:rsidRDefault="009B5E8B" w:rsidP="008A22C6">
      <w:pPr>
        <w:rPr>
          <w:b/>
          <w:szCs w:val="22"/>
        </w:rPr>
      </w:pPr>
      <w:r>
        <w:rPr>
          <w:noProof/>
          <w:lang w:eastAsia="en-GB"/>
        </w:rPr>
        <w:drawing>
          <wp:inline distT="0" distB="0" distL="0" distR="0" wp14:anchorId="3D47BF2A" wp14:editId="047D8900">
            <wp:extent cx="8086725" cy="42862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5E8B" w:rsidRDefault="009B5E8B" w:rsidP="008A22C6">
      <w:pPr>
        <w:rPr>
          <w:b/>
          <w:szCs w:val="22"/>
        </w:rPr>
      </w:pPr>
    </w:p>
    <w:p w:rsidR="009B5E8B" w:rsidRDefault="009B5E8B" w:rsidP="008A22C6">
      <w:pPr>
        <w:rPr>
          <w:b/>
          <w:szCs w:val="22"/>
        </w:rPr>
      </w:pPr>
    </w:p>
    <w:p w:rsidR="009B5E8B" w:rsidRDefault="009B5E8B" w:rsidP="008A22C6">
      <w:pPr>
        <w:rPr>
          <w:b/>
          <w:szCs w:val="22"/>
        </w:rPr>
      </w:pPr>
    </w:p>
    <w:p w:rsidR="00DA2CB8" w:rsidRDefault="00DA2CB8" w:rsidP="008A22C6">
      <w:pPr>
        <w:rPr>
          <w:b/>
          <w:szCs w:val="22"/>
        </w:rPr>
      </w:pPr>
    </w:p>
    <w:p w:rsidR="00DA2CB8" w:rsidRDefault="00DA2CB8" w:rsidP="008A22C6">
      <w:pPr>
        <w:rPr>
          <w:b/>
          <w:szCs w:val="22"/>
        </w:rPr>
      </w:pPr>
    </w:p>
    <w:p w:rsidR="00DA2CB8" w:rsidRDefault="00DA2CB8" w:rsidP="008A22C6">
      <w:pPr>
        <w:rPr>
          <w:b/>
          <w:szCs w:val="22"/>
        </w:rPr>
      </w:pPr>
    </w:p>
    <w:p w:rsidR="00DA2CB8" w:rsidRDefault="00DA2CB8" w:rsidP="00DA2CB8">
      <w:pPr>
        <w:rPr>
          <w:b/>
          <w:szCs w:val="22"/>
        </w:rPr>
      </w:pPr>
      <w:r>
        <w:rPr>
          <w:b/>
          <w:szCs w:val="22"/>
        </w:rPr>
        <w:lastRenderedPageBreak/>
        <w:t>OXFORD GENERAL POPULATION DATA</w:t>
      </w:r>
      <w:r w:rsidR="004031BD">
        <w:rPr>
          <w:b/>
          <w:szCs w:val="22"/>
        </w:rPr>
        <w:t xml:space="preserve"> COMPARISON</w:t>
      </w:r>
      <w:r>
        <w:rPr>
          <w:b/>
          <w:szCs w:val="22"/>
        </w:rPr>
        <w:t xml:space="preserve">: </w:t>
      </w:r>
      <w:r w:rsidR="004031BD">
        <w:rPr>
          <w:b/>
          <w:szCs w:val="22"/>
        </w:rPr>
        <w:t xml:space="preserve">CITY </w:t>
      </w:r>
      <w:r>
        <w:rPr>
          <w:b/>
          <w:szCs w:val="22"/>
        </w:rPr>
        <w:t>ECONOMICALLY ACTIVE GROUPS</w:t>
      </w:r>
      <w:r w:rsidR="004031BD">
        <w:rPr>
          <w:b/>
          <w:szCs w:val="22"/>
        </w:rPr>
        <w:t>&amp; COUNCIL EMPLOYEES</w:t>
      </w:r>
    </w:p>
    <w:p w:rsidR="00DA2CB8" w:rsidRDefault="00DA2CB8" w:rsidP="00DA2CB8">
      <w:pPr>
        <w:rPr>
          <w:b/>
          <w:szCs w:val="22"/>
        </w:rPr>
      </w:pPr>
    </w:p>
    <w:p w:rsidR="00DA2CB8" w:rsidRDefault="00DA2CB8" w:rsidP="008A22C6">
      <w:pPr>
        <w:rPr>
          <w:b/>
          <w:szCs w:val="22"/>
        </w:rPr>
      </w:pPr>
      <w:r>
        <w:rPr>
          <w:noProof/>
          <w:lang w:eastAsia="en-GB"/>
        </w:rPr>
        <w:drawing>
          <wp:inline distT="0" distB="0" distL="0" distR="0" wp14:anchorId="5EFD7733" wp14:editId="3CD2D431">
            <wp:extent cx="8505825" cy="35147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31BD" w:rsidRDefault="004031BD" w:rsidP="00DA2CB8">
      <w:pPr>
        <w:rPr>
          <w:rFonts w:ascii="Calibri" w:eastAsia="Times New Roman" w:hAnsi="Calibri" w:cs="Times New Roman"/>
          <w:color w:val="000000"/>
          <w:sz w:val="22"/>
          <w:szCs w:val="22"/>
          <w:lang w:eastAsia="en-GB"/>
        </w:rPr>
      </w:pPr>
    </w:p>
    <w:p w:rsidR="00DA2CB8" w:rsidRPr="001314E1" w:rsidRDefault="00DA2CB8" w:rsidP="00DA2CB8">
      <w:pPr>
        <w:rPr>
          <w:rFonts w:ascii="Calibri" w:eastAsia="Times New Roman" w:hAnsi="Calibri" w:cs="Times New Roman"/>
          <w:color w:val="000000"/>
          <w:sz w:val="22"/>
          <w:szCs w:val="22"/>
          <w:lang w:eastAsia="en-GB"/>
        </w:rPr>
      </w:pPr>
      <w:r w:rsidRPr="001314E1">
        <w:rPr>
          <w:rFonts w:ascii="Calibri" w:eastAsia="Times New Roman" w:hAnsi="Calibri" w:cs="Times New Roman"/>
          <w:color w:val="000000"/>
          <w:sz w:val="22"/>
          <w:szCs w:val="22"/>
          <w:lang w:eastAsia="en-GB"/>
        </w:rPr>
        <w:t>This graph shows the types of sub-categories for ethnic minority, for those who are economically active.  (Note that White British is not presented on this graph).</w:t>
      </w:r>
    </w:p>
    <w:p w:rsidR="00DA2CB8" w:rsidRPr="001314E1" w:rsidRDefault="00DA2CB8" w:rsidP="00DA2CB8">
      <w:pPr>
        <w:rPr>
          <w:rFonts w:ascii="Calibri" w:eastAsia="Times New Roman" w:hAnsi="Calibri" w:cs="Times New Roman"/>
          <w:color w:val="000000"/>
          <w:sz w:val="22"/>
          <w:szCs w:val="22"/>
          <w:lang w:eastAsia="en-GB"/>
        </w:rPr>
      </w:pPr>
      <w:r w:rsidRPr="001314E1">
        <w:rPr>
          <w:rFonts w:ascii="Calibri" w:eastAsia="Times New Roman" w:hAnsi="Calibri" w:cs="Times New Roman"/>
          <w:color w:val="000000"/>
          <w:sz w:val="22"/>
          <w:szCs w:val="22"/>
          <w:lang w:eastAsia="en-GB"/>
        </w:rPr>
        <w:t xml:space="preserve">The graph shows </w:t>
      </w:r>
      <w:r w:rsidRPr="001314E1">
        <w:rPr>
          <w:rFonts w:ascii="Calibri" w:eastAsia="Times New Roman" w:hAnsi="Calibri" w:cs="Times New Roman"/>
          <w:b/>
          <w:bCs/>
          <w:color w:val="000000"/>
          <w:sz w:val="22"/>
          <w:szCs w:val="22"/>
          <w:lang w:eastAsia="en-GB"/>
        </w:rPr>
        <w:t>that 'Asian' is the group which is most under-represented</w:t>
      </w:r>
      <w:r w:rsidRPr="001314E1">
        <w:rPr>
          <w:rFonts w:ascii="Calibri" w:eastAsia="Times New Roman" w:hAnsi="Calibri" w:cs="Times New Roman"/>
          <w:color w:val="000000"/>
          <w:sz w:val="22"/>
          <w:szCs w:val="22"/>
          <w:lang w:eastAsia="en-GB"/>
        </w:rPr>
        <w:t>.  This is a wide category including Indian/Pakistani/Bangladeshi; Chinese; etc.</w:t>
      </w:r>
    </w:p>
    <w:p w:rsidR="00DA2CB8" w:rsidRPr="001314E1" w:rsidRDefault="00DA2CB8" w:rsidP="00DA2CB8">
      <w:pPr>
        <w:rPr>
          <w:rFonts w:ascii="Calibri" w:eastAsia="Times New Roman" w:hAnsi="Calibri" w:cs="Times New Roman"/>
          <w:color w:val="000000"/>
          <w:sz w:val="22"/>
          <w:szCs w:val="22"/>
          <w:lang w:eastAsia="en-GB"/>
        </w:rPr>
      </w:pPr>
      <w:r w:rsidRPr="001314E1">
        <w:rPr>
          <w:rFonts w:ascii="Calibri" w:eastAsia="Times New Roman" w:hAnsi="Calibri" w:cs="Times New Roman"/>
          <w:color w:val="000000"/>
          <w:sz w:val="22"/>
          <w:szCs w:val="22"/>
          <w:lang w:eastAsia="en-GB"/>
        </w:rPr>
        <w:t>There are also fewer than expected in the 'White Other' category.</w:t>
      </w:r>
    </w:p>
    <w:p w:rsidR="00DA2CB8" w:rsidRPr="001314E1" w:rsidRDefault="00DA2CB8" w:rsidP="00DA2CB8">
      <w:pPr>
        <w:rPr>
          <w:rFonts w:ascii="Calibri" w:eastAsia="Times New Roman" w:hAnsi="Calibri" w:cs="Times New Roman"/>
          <w:color w:val="000000"/>
          <w:sz w:val="22"/>
          <w:szCs w:val="22"/>
          <w:lang w:eastAsia="en-GB"/>
        </w:rPr>
      </w:pPr>
      <w:r w:rsidRPr="006621EE">
        <w:rPr>
          <w:rFonts w:ascii="Calibri" w:eastAsia="Times New Roman" w:hAnsi="Calibri" w:cs="Times New Roman"/>
          <w:b/>
          <w:color w:val="000000"/>
          <w:sz w:val="22"/>
          <w:szCs w:val="22"/>
          <w:lang w:eastAsia="en-GB"/>
        </w:rPr>
        <w:t>NOTE:</w:t>
      </w:r>
      <w:r w:rsidRPr="001314E1">
        <w:rPr>
          <w:rFonts w:ascii="Calibri" w:eastAsia="Times New Roman" w:hAnsi="Calibri" w:cs="Times New Roman"/>
          <w:color w:val="000000"/>
          <w:sz w:val="22"/>
          <w:szCs w:val="22"/>
          <w:lang w:eastAsia="en-GB"/>
        </w:rPr>
        <w:t xml:space="preserve"> Full-time students and the economically inactive have been excluded from analysis.  </w:t>
      </w:r>
    </w:p>
    <w:p w:rsidR="00DA2CB8" w:rsidRPr="001314E1" w:rsidRDefault="00DA2CB8" w:rsidP="00DA2CB8">
      <w:pPr>
        <w:rPr>
          <w:rFonts w:ascii="Calibri" w:eastAsia="Times New Roman" w:hAnsi="Calibri" w:cs="Times New Roman"/>
          <w:color w:val="000000"/>
          <w:sz w:val="22"/>
          <w:szCs w:val="22"/>
          <w:lang w:eastAsia="en-GB"/>
        </w:rPr>
      </w:pPr>
      <w:r w:rsidRPr="001314E1">
        <w:rPr>
          <w:rFonts w:ascii="Calibri" w:eastAsia="Times New Roman" w:hAnsi="Calibri" w:cs="Times New Roman"/>
          <w:i/>
          <w:iCs/>
          <w:color w:val="000000"/>
          <w:sz w:val="22"/>
          <w:szCs w:val="22"/>
          <w:lang w:eastAsia="en-GB"/>
        </w:rPr>
        <w:t>Source: Census 2011, Table DC6201EW</w:t>
      </w:r>
    </w:p>
    <w:p w:rsidR="00DA2CB8" w:rsidRDefault="00DA2CB8" w:rsidP="008A22C6">
      <w:pPr>
        <w:rPr>
          <w:b/>
          <w:szCs w:val="22"/>
        </w:rPr>
      </w:pPr>
    </w:p>
    <w:p w:rsidR="00DA2CB8" w:rsidRDefault="00DA2CB8" w:rsidP="008A22C6">
      <w:pPr>
        <w:rPr>
          <w:b/>
          <w:szCs w:val="22"/>
        </w:rPr>
      </w:pPr>
    </w:p>
    <w:p w:rsidR="00DA2CB8" w:rsidRDefault="00DA2CB8" w:rsidP="008A22C6">
      <w:pPr>
        <w:rPr>
          <w:b/>
          <w:szCs w:val="22"/>
        </w:rPr>
      </w:pPr>
    </w:p>
    <w:p w:rsidR="009B5E8B" w:rsidRDefault="009B5E8B" w:rsidP="009B5E8B">
      <w:pPr>
        <w:rPr>
          <w:b/>
          <w:szCs w:val="22"/>
        </w:rPr>
      </w:pPr>
      <w:r>
        <w:rPr>
          <w:b/>
          <w:szCs w:val="22"/>
        </w:rPr>
        <w:t>WORKFORCE PROFILE (ETHNICITY)</w:t>
      </w:r>
    </w:p>
    <w:p w:rsidR="009B5E8B" w:rsidRDefault="009B5E8B" w:rsidP="008A22C6">
      <w:pPr>
        <w:rPr>
          <w:b/>
          <w:szCs w:val="22"/>
        </w:rPr>
      </w:pPr>
    </w:p>
    <w:tbl>
      <w:tblPr>
        <w:tblW w:w="13112" w:type="dxa"/>
        <w:tblInd w:w="93" w:type="dxa"/>
        <w:tblLook w:val="04A0" w:firstRow="1" w:lastRow="0" w:firstColumn="1" w:lastColumn="0" w:noHBand="0" w:noVBand="1"/>
      </w:tblPr>
      <w:tblGrid>
        <w:gridCol w:w="1471"/>
        <w:gridCol w:w="1510"/>
        <w:gridCol w:w="1123"/>
        <w:gridCol w:w="400"/>
        <w:gridCol w:w="1471"/>
        <w:gridCol w:w="1510"/>
        <w:gridCol w:w="1123"/>
        <w:gridCol w:w="400"/>
        <w:gridCol w:w="1471"/>
        <w:gridCol w:w="1510"/>
        <w:gridCol w:w="1123"/>
      </w:tblGrid>
      <w:tr w:rsidR="00A21AA8" w:rsidRPr="00A21AA8" w:rsidTr="00A21AA8">
        <w:trPr>
          <w:trHeight w:val="315"/>
        </w:trPr>
        <w:tc>
          <w:tcPr>
            <w:tcW w:w="4104" w:type="dxa"/>
            <w:gridSpan w:val="3"/>
            <w:tcBorders>
              <w:top w:val="nil"/>
              <w:left w:val="nil"/>
              <w:bottom w:val="nil"/>
              <w:right w:val="nil"/>
            </w:tcBorders>
            <w:shd w:val="clear" w:color="auto" w:fill="auto"/>
            <w:noWrap/>
            <w:vAlign w:val="bottom"/>
            <w:hideMark/>
          </w:tcPr>
          <w:p w:rsidR="00A21AA8" w:rsidRPr="00A21AA8" w:rsidRDefault="00A21AA8" w:rsidP="00A21AA8">
            <w:pPr>
              <w:rPr>
                <w:rFonts w:eastAsia="Times New Roman"/>
                <w:b/>
                <w:bCs/>
                <w:color w:val="000000"/>
                <w:sz w:val="22"/>
                <w:szCs w:val="22"/>
                <w:lang w:eastAsia="en-GB"/>
              </w:rPr>
            </w:pPr>
            <w:r w:rsidRPr="00A21AA8">
              <w:rPr>
                <w:rFonts w:eastAsia="Times New Roman"/>
                <w:b/>
                <w:bCs/>
                <w:color w:val="000000"/>
                <w:sz w:val="22"/>
                <w:szCs w:val="22"/>
                <w:lang w:eastAsia="en-GB"/>
              </w:rPr>
              <w:t xml:space="preserve">As at </w:t>
            </w:r>
            <w:r w:rsidRPr="00CA74BC">
              <w:rPr>
                <w:rFonts w:eastAsia="Times New Roman"/>
                <w:b/>
                <w:bCs/>
                <w:color w:val="000000"/>
                <w:sz w:val="22"/>
                <w:szCs w:val="22"/>
                <w:lang w:eastAsia="en-GB"/>
              </w:rPr>
              <w:t>March 2016</w:t>
            </w:r>
          </w:p>
        </w:tc>
        <w:tc>
          <w:tcPr>
            <w:tcW w:w="400" w:type="dxa"/>
            <w:tcBorders>
              <w:top w:val="nil"/>
              <w:left w:val="nil"/>
              <w:bottom w:val="nil"/>
              <w:right w:val="nil"/>
            </w:tcBorders>
            <w:shd w:val="clear" w:color="auto" w:fill="auto"/>
            <w:noWrap/>
            <w:vAlign w:val="bottom"/>
            <w:hideMark/>
          </w:tcPr>
          <w:p w:rsidR="00A21AA8" w:rsidRPr="00A21AA8" w:rsidRDefault="00A21AA8" w:rsidP="00A21AA8">
            <w:pPr>
              <w:rPr>
                <w:rFonts w:eastAsia="Times New Roman"/>
                <w:color w:val="000000"/>
                <w:sz w:val="22"/>
                <w:szCs w:val="22"/>
                <w:lang w:eastAsia="en-GB"/>
              </w:rPr>
            </w:pPr>
          </w:p>
        </w:tc>
        <w:tc>
          <w:tcPr>
            <w:tcW w:w="4104" w:type="dxa"/>
            <w:gridSpan w:val="3"/>
            <w:tcBorders>
              <w:top w:val="nil"/>
              <w:left w:val="nil"/>
              <w:bottom w:val="nil"/>
              <w:right w:val="nil"/>
            </w:tcBorders>
            <w:shd w:val="clear" w:color="auto" w:fill="auto"/>
            <w:noWrap/>
            <w:vAlign w:val="bottom"/>
            <w:hideMark/>
          </w:tcPr>
          <w:p w:rsidR="00A21AA8" w:rsidRPr="00D27E5B" w:rsidRDefault="00A21AA8" w:rsidP="002A3204">
            <w:pPr>
              <w:rPr>
                <w:rFonts w:eastAsia="Times New Roman"/>
                <w:b/>
                <w:bCs/>
                <w:color w:val="000000"/>
                <w:sz w:val="22"/>
                <w:szCs w:val="22"/>
                <w:lang w:eastAsia="en-GB"/>
              </w:rPr>
            </w:pPr>
            <w:r w:rsidRPr="00CA74BC">
              <w:rPr>
                <w:rFonts w:eastAsia="Times New Roman"/>
                <w:b/>
                <w:bCs/>
                <w:color w:val="000000"/>
                <w:sz w:val="22"/>
                <w:szCs w:val="22"/>
                <w:lang w:eastAsia="en-GB"/>
              </w:rPr>
              <w:t>As at 31 March 2017</w:t>
            </w:r>
          </w:p>
        </w:tc>
        <w:tc>
          <w:tcPr>
            <w:tcW w:w="400" w:type="dxa"/>
            <w:tcBorders>
              <w:top w:val="nil"/>
              <w:left w:val="nil"/>
              <w:bottom w:val="nil"/>
              <w:right w:val="nil"/>
            </w:tcBorders>
            <w:shd w:val="clear" w:color="auto" w:fill="auto"/>
            <w:noWrap/>
            <w:vAlign w:val="bottom"/>
            <w:hideMark/>
          </w:tcPr>
          <w:p w:rsidR="00A21AA8" w:rsidRPr="00A21AA8" w:rsidRDefault="00A21AA8" w:rsidP="00A21AA8">
            <w:pPr>
              <w:rPr>
                <w:rFonts w:eastAsia="Times New Roman"/>
                <w:color w:val="000000"/>
                <w:sz w:val="22"/>
                <w:szCs w:val="22"/>
                <w:lang w:eastAsia="en-GB"/>
              </w:rPr>
            </w:pPr>
          </w:p>
        </w:tc>
        <w:tc>
          <w:tcPr>
            <w:tcW w:w="4104" w:type="dxa"/>
            <w:gridSpan w:val="3"/>
            <w:tcBorders>
              <w:top w:val="nil"/>
              <w:left w:val="nil"/>
              <w:bottom w:val="nil"/>
              <w:right w:val="nil"/>
            </w:tcBorders>
            <w:shd w:val="clear" w:color="auto" w:fill="auto"/>
            <w:noWrap/>
            <w:vAlign w:val="bottom"/>
            <w:hideMark/>
          </w:tcPr>
          <w:p w:rsidR="00A21AA8" w:rsidRPr="00D27E5B" w:rsidRDefault="00A21AA8" w:rsidP="002A3204">
            <w:pPr>
              <w:rPr>
                <w:rFonts w:eastAsia="Times New Roman"/>
                <w:b/>
                <w:bCs/>
                <w:color w:val="000000"/>
                <w:sz w:val="22"/>
                <w:szCs w:val="22"/>
                <w:lang w:eastAsia="en-GB"/>
              </w:rPr>
            </w:pPr>
            <w:r w:rsidRPr="00CA74BC">
              <w:rPr>
                <w:rFonts w:eastAsia="Times New Roman"/>
                <w:b/>
                <w:bCs/>
                <w:color w:val="000000"/>
                <w:sz w:val="22"/>
                <w:szCs w:val="22"/>
                <w:lang w:eastAsia="en-GB"/>
              </w:rPr>
              <w:t>As at 31 March 2018</w:t>
            </w:r>
          </w:p>
        </w:tc>
      </w:tr>
      <w:tr w:rsidR="00A21AA8" w:rsidRPr="00CA74BC" w:rsidTr="00A21AA8">
        <w:trPr>
          <w:trHeight w:val="315"/>
        </w:trPr>
        <w:tc>
          <w:tcPr>
            <w:tcW w:w="1471" w:type="dxa"/>
            <w:tcBorders>
              <w:top w:val="nil"/>
              <w:left w:val="nil"/>
              <w:bottom w:val="nil"/>
              <w:right w:val="nil"/>
            </w:tcBorders>
            <w:shd w:val="clear" w:color="auto" w:fill="auto"/>
            <w:noWrap/>
            <w:vAlign w:val="bottom"/>
            <w:hideMark/>
          </w:tcPr>
          <w:p w:rsidR="00A21AA8" w:rsidRPr="00A21AA8" w:rsidRDefault="00A21AA8" w:rsidP="00A21AA8">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A21AA8" w:rsidRPr="00A21AA8" w:rsidRDefault="00A21AA8" w:rsidP="00A21AA8">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A21AA8" w:rsidRPr="00A21AA8" w:rsidRDefault="00A21AA8" w:rsidP="00A21AA8">
            <w:pPr>
              <w:jc w:val="center"/>
              <w:rPr>
                <w:rFonts w:eastAsia="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A21AA8" w:rsidRPr="00A21AA8" w:rsidRDefault="00A21AA8" w:rsidP="00A21AA8">
            <w:pPr>
              <w:rPr>
                <w:rFonts w:eastAsia="Times New Roman"/>
                <w:color w:val="000000"/>
                <w:sz w:val="22"/>
                <w:szCs w:val="22"/>
                <w:lang w:eastAsia="en-GB"/>
              </w:rPr>
            </w:pPr>
          </w:p>
        </w:tc>
        <w:tc>
          <w:tcPr>
            <w:tcW w:w="1471" w:type="dxa"/>
            <w:tcBorders>
              <w:top w:val="nil"/>
              <w:left w:val="nil"/>
              <w:bottom w:val="nil"/>
              <w:right w:val="nil"/>
            </w:tcBorders>
            <w:shd w:val="clear" w:color="auto" w:fill="auto"/>
            <w:noWrap/>
            <w:vAlign w:val="bottom"/>
            <w:hideMark/>
          </w:tcPr>
          <w:p w:rsidR="00A21AA8" w:rsidRPr="00A21AA8" w:rsidRDefault="00A21AA8" w:rsidP="00A21AA8">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A21AA8" w:rsidRPr="00A21AA8" w:rsidRDefault="00A21AA8" w:rsidP="00A21AA8">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A21AA8" w:rsidRPr="00A21AA8" w:rsidRDefault="00A21AA8" w:rsidP="00A21AA8">
            <w:pPr>
              <w:jc w:val="center"/>
              <w:rPr>
                <w:rFonts w:eastAsia="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A21AA8" w:rsidRPr="00A21AA8" w:rsidRDefault="00A21AA8" w:rsidP="00A21AA8">
            <w:pPr>
              <w:rPr>
                <w:rFonts w:eastAsia="Times New Roman"/>
                <w:color w:val="000000"/>
                <w:sz w:val="22"/>
                <w:szCs w:val="22"/>
                <w:lang w:eastAsia="en-GB"/>
              </w:rPr>
            </w:pPr>
          </w:p>
        </w:tc>
        <w:tc>
          <w:tcPr>
            <w:tcW w:w="1471" w:type="dxa"/>
            <w:tcBorders>
              <w:top w:val="nil"/>
              <w:left w:val="nil"/>
              <w:bottom w:val="nil"/>
              <w:right w:val="nil"/>
            </w:tcBorders>
            <w:shd w:val="clear" w:color="auto" w:fill="auto"/>
            <w:noWrap/>
            <w:vAlign w:val="bottom"/>
            <w:hideMark/>
          </w:tcPr>
          <w:p w:rsidR="00A21AA8" w:rsidRPr="00A21AA8" w:rsidRDefault="00A21AA8" w:rsidP="00A21AA8">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A21AA8" w:rsidRPr="00A21AA8" w:rsidRDefault="00A21AA8" w:rsidP="00A21AA8">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A21AA8" w:rsidRPr="00A21AA8" w:rsidRDefault="00A21AA8" w:rsidP="00A21AA8">
            <w:pPr>
              <w:jc w:val="center"/>
              <w:rPr>
                <w:rFonts w:eastAsia="Times New Roman"/>
                <w:color w:val="000000"/>
                <w:sz w:val="22"/>
                <w:szCs w:val="22"/>
                <w:lang w:eastAsia="en-GB"/>
              </w:rPr>
            </w:pPr>
          </w:p>
        </w:tc>
      </w:tr>
      <w:tr w:rsidR="00A21AA8" w:rsidRPr="00CA74BC" w:rsidTr="00A21AA8">
        <w:trPr>
          <w:trHeight w:val="315"/>
        </w:trPr>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A21AA8" w:rsidRPr="00BB10D7" w:rsidRDefault="00A21AA8" w:rsidP="00A21AA8">
            <w:pPr>
              <w:rPr>
                <w:rFonts w:eastAsia="Times New Roman"/>
                <w:b/>
                <w:bCs/>
                <w:color w:val="000000"/>
                <w:sz w:val="20"/>
                <w:szCs w:val="22"/>
                <w:lang w:eastAsia="en-GB"/>
              </w:rPr>
            </w:pPr>
            <w:r w:rsidRPr="00BB10D7">
              <w:rPr>
                <w:rFonts w:eastAsia="Times New Roman"/>
                <w:b/>
                <w:bCs/>
                <w:color w:val="000000"/>
                <w:sz w:val="20"/>
                <w:szCs w:val="22"/>
                <w:lang w:eastAsia="en-GB"/>
              </w:rPr>
              <w:t>Ethnicity</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A21AA8" w:rsidRPr="00BB10D7" w:rsidRDefault="00A21AA8" w:rsidP="00A21AA8">
            <w:pPr>
              <w:jc w:val="center"/>
              <w:rPr>
                <w:rFonts w:eastAsia="Times New Roman"/>
                <w:b/>
                <w:bCs/>
                <w:color w:val="000000"/>
                <w:sz w:val="20"/>
                <w:szCs w:val="22"/>
                <w:lang w:eastAsia="en-GB"/>
              </w:rPr>
            </w:pPr>
            <w:r w:rsidRPr="00BB10D7">
              <w:rPr>
                <w:rFonts w:eastAsia="Times New Roman"/>
                <w:b/>
                <w:bCs/>
                <w:color w:val="000000"/>
                <w:sz w:val="20"/>
                <w:szCs w:val="22"/>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A21AA8" w:rsidRPr="00BB10D7" w:rsidRDefault="00A21AA8" w:rsidP="00A21AA8">
            <w:pPr>
              <w:jc w:val="center"/>
              <w:rPr>
                <w:rFonts w:eastAsia="Times New Roman"/>
                <w:b/>
                <w:bCs/>
                <w:color w:val="000000"/>
                <w:sz w:val="20"/>
                <w:szCs w:val="22"/>
                <w:lang w:eastAsia="en-GB"/>
              </w:rPr>
            </w:pPr>
            <w:r w:rsidRPr="00BB10D7">
              <w:rPr>
                <w:rFonts w:eastAsia="Times New Roman"/>
                <w:b/>
                <w:bCs/>
                <w:color w:val="000000"/>
                <w:sz w:val="20"/>
                <w:szCs w:val="22"/>
                <w:lang w:eastAsia="en-GB"/>
              </w:rPr>
              <w:t>Number</w:t>
            </w:r>
          </w:p>
        </w:tc>
        <w:tc>
          <w:tcPr>
            <w:tcW w:w="400" w:type="dxa"/>
            <w:tcBorders>
              <w:top w:val="nil"/>
              <w:left w:val="nil"/>
              <w:bottom w:val="nil"/>
              <w:right w:val="nil"/>
            </w:tcBorders>
            <w:shd w:val="clear" w:color="auto" w:fill="auto"/>
            <w:noWrap/>
            <w:vAlign w:val="bottom"/>
            <w:hideMark/>
          </w:tcPr>
          <w:p w:rsidR="00A21AA8" w:rsidRPr="00BB10D7" w:rsidRDefault="00A21AA8" w:rsidP="00A21AA8">
            <w:pPr>
              <w:rPr>
                <w:rFonts w:eastAsia="Times New Roman"/>
                <w:color w:val="000000"/>
                <w:sz w:val="20"/>
                <w:szCs w:val="22"/>
                <w:lang w:eastAsia="en-GB"/>
              </w:rPr>
            </w:pPr>
          </w:p>
        </w:tc>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A21AA8" w:rsidRPr="00BB10D7" w:rsidRDefault="00A21AA8" w:rsidP="00A21AA8">
            <w:pPr>
              <w:rPr>
                <w:rFonts w:eastAsia="Times New Roman"/>
                <w:b/>
                <w:bCs/>
                <w:color w:val="000000"/>
                <w:sz w:val="20"/>
                <w:szCs w:val="22"/>
                <w:lang w:eastAsia="en-GB"/>
              </w:rPr>
            </w:pPr>
            <w:r w:rsidRPr="00BB10D7">
              <w:rPr>
                <w:rFonts w:eastAsia="Times New Roman"/>
                <w:b/>
                <w:bCs/>
                <w:color w:val="000000"/>
                <w:sz w:val="20"/>
                <w:szCs w:val="22"/>
                <w:lang w:eastAsia="en-GB"/>
              </w:rPr>
              <w:t>Ethnicity</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A21AA8" w:rsidRPr="00BB10D7" w:rsidRDefault="00A21AA8" w:rsidP="00A21AA8">
            <w:pPr>
              <w:jc w:val="center"/>
              <w:rPr>
                <w:rFonts w:eastAsia="Times New Roman"/>
                <w:b/>
                <w:bCs/>
                <w:color w:val="000000"/>
                <w:sz w:val="20"/>
                <w:szCs w:val="22"/>
                <w:lang w:eastAsia="en-GB"/>
              </w:rPr>
            </w:pPr>
            <w:r w:rsidRPr="00BB10D7">
              <w:rPr>
                <w:rFonts w:eastAsia="Times New Roman"/>
                <w:b/>
                <w:bCs/>
                <w:color w:val="000000"/>
                <w:sz w:val="20"/>
                <w:szCs w:val="22"/>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A21AA8" w:rsidRPr="00BB10D7" w:rsidRDefault="00A21AA8" w:rsidP="00A21AA8">
            <w:pPr>
              <w:jc w:val="center"/>
              <w:rPr>
                <w:rFonts w:eastAsia="Times New Roman"/>
                <w:b/>
                <w:bCs/>
                <w:color w:val="000000"/>
                <w:sz w:val="20"/>
                <w:szCs w:val="22"/>
                <w:lang w:eastAsia="en-GB"/>
              </w:rPr>
            </w:pPr>
            <w:r w:rsidRPr="00BB10D7">
              <w:rPr>
                <w:rFonts w:eastAsia="Times New Roman"/>
                <w:b/>
                <w:bCs/>
                <w:color w:val="000000"/>
                <w:sz w:val="20"/>
                <w:szCs w:val="22"/>
                <w:lang w:eastAsia="en-GB"/>
              </w:rPr>
              <w:t>Number</w:t>
            </w:r>
          </w:p>
        </w:tc>
        <w:tc>
          <w:tcPr>
            <w:tcW w:w="400" w:type="dxa"/>
            <w:tcBorders>
              <w:top w:val="nil"/>
              <w:left w:val="nil"/>
              <w:bottom w:val="nil"/>
              <w:right w:val="nil"/>
            </w:tcBorders>
            <w:shd w:val="clear" w:color="auto" w:fill="auto"/>
            <w:noWrap/>
            <w:vAlign w:val="bottom"/>
            <w:hideMark/>
          </w:tcPr>
          <w:p w:rsidR="00A21AA8" w:rsidRPr="00BB10D7" w:rsidRDefault="00A21AA8" w:rsidP="00A21AA8">
            <w:pPr>
              <w:rPr>
                <w:rFonts w:eastAsia="Times New Roman"/>
                <w:color w:val="000000"/>
                <w:sz w:val="20"/>
                <w:szCs w:val="22"/>
                <w:lang w:eastAsia="en-GB"/>
              </w:rPr>
            </w:pPr>
          </w:p>
        </w:tc>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A21AA8" w:rsidRPr="00BB10D7" w:rsidRDefault="00A21AA8" w:rsidP="00A21AA8">
            <w:pPr>
              <w:rPr>
                <w:rFonts w:eastAsia="Times New Roman"/>
                <w:b/>
                <w:bCs/>
                <w:color w:val="000000"/>
                <w:sz w:val="20"/>
                <w:szCs w:val="22"/>
                <w:lang w:eastAsia="en-GB"/>
              </w:rPr>
            </w:pPr>
            <w:r w:rsidRPr="00BB10D7">
              <w:rPr>
                <w:rFonts w:eastAsia="Times New Roman"/>
                <w:b/>
                <w:bCs/>
                <w:color w:val="000000"/>
                <w:sz w:val="20"/>
                <w:szCs w:val="22"/>
                <w:lang w:eastAsia="en-GB"/>
              </w:rPr>
              <w:t>Ethnicity</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A21AA8" w:rsidRPr="00BB10D7" w:rsidRDefault="00A21AA8" w:rsidP="00A21AA8">
            <w:pPr>
              <w:jc w:val="center"/>
              <w:rPr>
                <w:rFonts w:eastAsia="Times New Roman"/>
                <w:b/>
                <w:bCs/>
                <w:color w:val="000000"/>
                <w:sz w:val="20"/>
                <w:szCs w:val="22"/>
                <w:lang w:eastAsia="en-GB"/>
              </w:rPr>
            </w:pPr>
            <w:r w:rsidRPr="00BB10D7">
              <w:rPr>
                <w:rFonts w:eastAsia="Times New Roman"/>
                <w:b/>
                <w:bCs/>
                <w:color w:val="000000"/>
                <w:sz w:val="20"/>
                <w:szCs w:val="22"/>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A21AA8" w:rsidRPr="00BB10D7" w:rsidRDefault="00A21AA8" w:rsidP="00A21AA8">
            <w:pPr>
              <w:jc w:val="center"/>
              <w:rPr>
                <w:rFonts w:eastAsia="Times New Roman"/>
                <w:b/>
                <w:bCs/>
                <w:color w:val="000000"/>
                <w:sz w:val="20"/>
                <w:szCs w:val="22"/>
                <w:lang w:eastAsia="en-GB"/>
              </w:rPr>
            </w:pPr>
            <w:r w:rsidRPr="00BB10D7">
              <w:rPr>
                <w:rFonts w:eastAsia="Times New Roman"/>
                <w:b/>
                <w:bCs/>
                <w:color w:val="000000"/>
                <w:sz w:val="20"/>
                <w:szCs w:val="22"/>
                <w:lang w:eastAsia="en-GB"/>
              </w:rPr>
              <w:t>Number</w:t>
            </w:r>
          </w:p>
        </w:tc>
      </w:tr>
      <w:tr w:rsidR="00326723" w:rsidRPr="00CA74BC" w:rsidTr="005E3DC3">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326723" w:rsidRPr="00BB10D7" w:rsidRDefault="00326723" w:rsidP="00A21AA8">
            <w:pPr>
              <w:rPr>
                <w:rFonts w:eastAsia="Times New Roman"/>
                <w:color w:val="000000"/>
                <w:sz w:val="20"/>
                <w:szCs w:val="22"/>
                <w:lang w:eastAsia="en-GB"/>
              </w:rPr>
            </w:pPr>
            <w:r w:rsidRPr="00BB10D7">
              <w:rPr>
                <w:rFonts w:eastAsia="Times New Roman"/>
                <w:color w:val="000000"/>
                <w:sz w:val="20"/>
                <w:szCs w:val="22"/>
                <w:lang w:eastAsia="en-GB"/>
              </w:rPr>
              <w:t>White</w:t>
            </w:r>
          </w:p>
        </w:tc>
        <w:tc>
          <w:tcPr>
            <w:tcW w:w="1510" w:type="dxa"/>
            <w:tcBorders>
              <w:top w:val="nil"/>
              <w:left w:val="nil"/>
              <w:bottom w:val="single" w:sz="8" w:space="0" w:color="auto"/>
              <w:right w:val="single" w:sz="8" w:space="0" w:color="auto"/>
            </w:tcBorders>
            <w:shd w:val="clear" w:color="auto" w:fill="auto"/>
            <w:noWrap/>
            <w:vAlign w:val="center"/>
            <w:hideMark/>
          </w:tcPr>
          <w:p w:rsidR="00326723" w:rsidRPr="00BB10D7" w:rsidRDefault="00326723" w:rsidP="00A21AA8">
            <w:pPr>
              <w:jc w:val="center"/>
              <w:rPr>
                <w:rFonts w:eastAsia="Times New Roman"/>
                <w:color w:val="000000"/>
                <w:sz w:val="20"/>
                <w:szCs w:val="22"/>
                <w:lang w:eastAsia="en-GB"/>
              </w:rPr>
            </w:pPr>
            <w:r w:rsidRPr="00BB10D7">
              <w:rPr>
                <w:rFonts w:eastAsia="Times New Roman"/>
                <w:color w:val="000000"/>
                <w:sz w:val="20"/>
                <w:szCs w:val="22"/>
                <w:lang w:eastAsia="en-GB"/>
              </w:rPr>
              <w:t>85.81</w:t>
            </w:r>
          </w:p>
        </w:tc>
        <w:tc>
          <w:tcPr>
            <w:tcW w:w="1123" w:type="dxa"/>
            <w:tcBorders>
              <w:top w:val="nil"/>
              <w:left w:val="nil"/>
              <w:bottom w:val="single" w:sz="8" w:space="0" w:color="auto"/>
              <w:right w:val="single" w:sz="8" w:space="0" w:color="auto"/>
            </w:tcBorders>
            <w:shd w:val="clear" w:color="auto" w:fill="auto"/>
            <w:noWrap/>
            <w:vAlign w:val="center"/>
            <w:hideMark/>
          </w:tcPr>
          <w:p w:rsidR="00326723" w:rsidRPr="00BB10D7" w:rsidRDefault="00326723" w:rsidP="00A21AA8">
            <w:pPr>
              <w:jc w:val="center"/>
              <w:rPr>
                <w:rFonts w:eastAsia="Times New Roman"/>
                <w:color w:val="000000"/>
                <w:sz w:val="20"/>
                <w:szCs w:val="22"/>
                <w:lang w:eastAsia="en-GB"/>
              </w:rPr>
            </w:pPr>
            <w:r w:rsidRPr="00BB10D7">
              <w:rPr>
                <w:rFonts w:eastAsia="Times New Roman"/>
                <w:color w:val="000000"/>
                <w:sz w:val="20"/>
                <w:szCs w:val="22"/>
                <w:lang w:eastAsia="en-GB"/>
              </w:rPr>
              <w:t>1076</w:t>
            </w:r>
          </w:p>
        </w:tc>
        <w:tc>
          <w:tcPr>
            <w:tcW w:w="400" w:type="dxa"/>
            <w:tcBorders>
              <w:top w:val="nil"/>
              <w:left w:val="nil"/>
              <w:bottom w:val="nil"/>
              <w:right w:val="nil"/>
            </w:tcBorders>
            <w:shd w:val="clear" w:color="auto" w:fill="auto"/>
            <w:noWrap/>
            <w:vAlign w:val="bottom"/>
            <w:hideMark/>
          </w:tcPr>
          <w:p w:rsidR="00326723" w:rsidRPr="00BB10D7" w:rsidRDefault="00326723" w:rsidP="00A21AA8">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326723" w:rsidRPr="00BB10D7" w:rsidRDefault="00326723" w:rsidP="00A21AA8">
            <w:pPr>
              <w:rPr>
                <w:rFonts w:eastAsia="Times New Roman"/>
                <w:color w:val="000000"/>
                <w:sz w:val="20"/>
                <w:szCs w:val="22"/>
                <w:lang w:eastAsia="en-GB"/>
              </w:rPr>
            </w:pPr>
            <w:r w:rsidRPr="00BB10D7">
              <w:rPr>
                <w:rFonts w:eastAsia="Times New Roman"/>
                <w:color w:val="000000"/>
                <w:sz w:val="20"/>
                <w:szCs w:val="22"/>
                <w:lang w:eastAsia="en-GB"/>
              </w:rPr>
              <w:t>White</w:t>
            </w:r>
          </w:p>
        </w:tc>
        <w:tc>
          <w:tcPr>
            <w:tcW w:w="1510" w:type="dxa"/>
            <w:tcBorders>
              <w:top w:val="nil"/>
              <w:left w:val="nil"/>
              <w:bottom w:val="single" w:sz="8" w:space="0" w:color="auto"/>
              <w:right w:val="single" w:sz="8" w:space="0" w:color="auto"/>
            </w:tcBorders>
            <w:shd w:val="clear" w:color="auto" w:fill="auto"/>
            <w:noWrap/>
            <w:vAlign w:val="center"/>
            <w:hideMark/>
          </w:tcPr>
          <w:p w:rsidR="00326723" w:rsidRDefault="00326723">
            <w:pPr>
              <w:jc w:val="center"/>
              <w:rPr>
                <w:sz w:val="20"/>
                <w:szCs w:val="20"/>
              </w:rPr>
            </w:pPr>
            <w:r>
              <w:rPr>
                <w:sz w:val="20"/>
                <w:szCs w:val="20"/>
              </w:rPr>
              <w:t>84.76</w:t>
            </w:r>
          </w:p>
        </w:tc>
        <w:tc>
          <w:tcPr>
            <w:tcW w:w="1123" w:type="dxa"/>
            <w:tcBorders>
              <w:top w:val="nil"/>
              <w:left w:val="nil"/>
              <w:bottom w:val="single" w:sz="8" w:space="0" w:color="auto"/>
              <w:right w:val="single" w:sz="8" w:space="0" w:color="auto"/>
            </w:tcBorders>
            <w:shd w:val="clear" w:color="auto" w:fill="auto"/>
            <w:noWrap/>
            <w:vAlign w:val="center"/>
            <w:hideMark/>
          </w:tcPr>
          <w:p w:rsidR="00326723" w:rsidRDefault="00326723">
            <w:pPr>
              <w:jc w:val="center"/>
              <w:rPr>
                <w:sz w:val="20"/>
                <w:szCs w:val="20"/>
              </w:rPr>
            </w:pPr>
            <w:r>
              <w:rPr>
                <w:sz w:val="20"/>
                <w:szCs w:val="20"/>
              </w:rPr>
              <w:t>1112</w:t>
            </w:r>
          </w:p>
        </w:tc>
        <w:tc>
          <w:tcPr>
            <w:tcW w:w="400" w:type="dxa"/>
            <w:tcBorders>
              <w:top w:val="nil"/>
              <w:left w:val="nil"/>
              <w:bottom w:val="nil"/>
              <w:right w:val="nil"/>
            </w:tcBorders>
            <w:shd w:val="clear" w:color="auto" w:fill="auto"/>
            <w:noWrap/>
            <w:vAlign w:val="bottom"/>
            <w:hideMark/>
          </w:tcPr>
          <w:p w:rsidR="00326723" w:rsidRPr="00BB10D7" w:rsidRDefault="00326723" w:rsidP="00A21AA8">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326723" w:rsidRPr="00BB10D7" w:rsidRDefault="00326723" w:rsidP="00A21AA8">
            <w:pPr>
              <w:rPr>
                <w:rFonts w:eastAsia="Times New Roman"/>
                <w:color w:val="000000"/>
                <w:sz w:val="20"/>
                <w:szCs w:val="22"/>
                <w:lang w:eastAsia="en-GB"/>
              </w:rPr>
            </w:pPr>
            <w:r w:rsidRPr="00BB10D7">
              <w:rPr>
                <w:rFonts w:eastAsia="Times New Roman"/>
                <w:color w:val="000000"/>
                <w:sz w:val="20"/>
                <w:szCs w:val="22"/>
                <w:lang w:eastAsia="en-GB"/>
              </w:rPr>
              <w:t>White</w:t>
            </w:r>
          </w:p>
        </w:tc>
        <w:tc>
          <w:tcPr>
            <w:tcW w:w="1510" w:type="dxa"/>
            <w:tcBorders>
              <w:top w:val="nil"/>
              <w:left w:val="nil"/>
              <w:bottom w:val="single" w:sz="8" w:space="0" w:color="auto"/>
              <w:right w:val="single" w:sz="8" w:space="0" w:color="auto"/>
            </w:tcBorders>
            <w:shd w:val="clear" w:color="auto" w:fill="auto"/>
            <w:noWrap/>
            <w:vAlign w:val="center"/>
          </w:tcPr>
          <w:p w:rsidR="00326723" w:rsidRPr="00BB10D7" w:rsidRDefault="006418D2" w:rsidP="00A21AA8">
            <w:pPr>
              <w:jc w:val="center"/>
              <w:rPr>
                <w:rFonts w:eastAsia="Times New Roman"/>
                <w:color w:val="000000"/>
                <w:sz w:val="20"/>
                <w:szCs w:val="22"/>
                <w:lang w:eastAsia="en-GB"/>
              </w:rPr>
            </w:pPr>
            <w:r>
              <w:rPr>
                <w:rFonts w:eastAsia="Times New Roman"/>
                <w:color w:val="000000"/>
                <w:sz w:val="20"/>
                <w:szCs w:val="22"/>
                <w:lang w:eastAsia="en-GB"/>
              </w:rPr>
              <w:t>84.12</w:t>
            </w:r>
          </w:p>
        </w:tc>
        <w:tc>
          <w:tcPr>
            <w:tcW w:w="1123" w:type="dxa"/>
            <w:tcBorders>
              <w:top w:val="nil"/>
              <w:left w:val="nil"/>
              <w:bottom w:val="single" w:sz="8" w:space="0" w:color="auto"/>
              <w:right w:val="single" w:sz="8" w:space="0" w:color="auto"/>
            </w:tcBorders>
            <w:shd w:val="clear" w:color="auto" w:fill="auto"/>
            <w:noWrap/>
            <w:vAlign w:val="center"/>
          </w:tcPr>
          <w:p w:rsidR="00326723" w:rsidRPr="00BB10D7" w:rsidRDefault="006418D2" w:rsidP="00A21AA8">
            <w:pPr>
              <w:jc w:val="center"/>
              <w:rPr>
                <w:rFonts w:eastAsia="Times New Roman"/>
                <w:color w:val="000000"/>
                <w:sz w:val="20"/>
                <w:szCs w:val="22"/>
                <w:lang w:eastAsia="en-GB"/>
              </w:rPr>
            </w:pPr>
            <w:r>
              <w:rPr>
                <w:rFonts w:eastAsia="Times New Roman"/>
                <w:color w:val="000000"/>
                <w:sz w:val="20"/>
                <w:szCs w:val="22"/>
                <w:lang w:eastAsia="en-GB"/>
              </w:rPr>
              <w:t>1118</w:t>
            </w:r>
          </w:p>
        </w:tc>
      </w:tr>
      <w:tr w:rsidR="00326723" w:rsidRPr="00CA74BC" w:rsidTr="005E3DC3">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326723" w:rsidRPr="00BB10D7" w:rsidRDefault="00326723" w:rsidP="00A21AA8">
            <w:pPr>
              <w:rPr>
                <w:rFonts w:eastAsia="Times New Roman"/>
                <w:color w:val="000000"/>
                <w:sz w:val="20"/>
                <w:szCs w:val="22"/>
                <w:lang w:eastAsia="en-GB"/>
              </w:rPr>
            </w:pPr>
            <w:r w:rsidRPr="00BB10D7">
              <w:rPr>
                <w:rFonts w:eastAsia="Times New Roman"/>
                <w:color w:val="000000"/>
                <w:sz w:val="20"/>
                <w:szCs w:val="22"/>
                <w:lang w:eastAsia="en-GB"/>
              </w:rPr>
              <w:t>B</w:t>
            </w:r>
            <w:r>
              <w:rPr>
                <w:rFonts w:eastAsia="Times New Roman"/>
                <w:color w:val="000000"/>
                <w:sz w:val="20"/>
                <w:szCs w:val="22"/>
                <w:lang w:eastAsia="en-GB"/>
              </w:rPr>
              <w:t>A</w:t>
            </w:r>
            <w:r w:rsidRPr="00BB10D7">
              <w:rPr>
                <w:rFonts w:eastAsia="Times New Roman"/>
                <w:color w:val="000000"/>
                <w:sz w:val="20"/>
                <w:szCs w:val="22"/>
                <w:lang w:eastAsia="en-GB"/>
              </w:rPr>
              <w:t>ME</w:t>
            </w:r>
          </w:p>
        </w:tc>
        <w:tc>
          <w:tcPr>
            <w:tcW w:w="1510" w:type="dxa"/>
            <w:tcBorders>
              <w:top w:val="nil"/>
              <w:left w:val="nil"/>
              <w:bottom w:val="single" w:sz="8" w:space="0" w:color="auto"/>
              <w:right w:val="single" w:sz="8" w:space="0" w:color="auto"/>
            </w:tcBorders>
            <w:shd w:val="clear" w:color="auto" w:fill="auto"/>
            <w:noWrap/>
            <w:vAlign w:val="center"/>
            <w:hideMark/>
          </w:tcPr>
          <w:p w:rsidR="00326723" w:rsidRPr="00BB10D7" w:rsidRDefault="00326723" w:rsidP="00A21AA8">
            <w:pPr>
              <w:jc w:val="center"/>
              <w:rPr>
                <w:rFonts w:eastAsia="Times New Roman"/>
                <w:color w:val="000000"/>
                <w:sz w:val="20"/>
                <w:szCs w:val="22"/>
                <w:lang w:eastAsia="en-GB"/>
              </w:rPr>
            </w:pPr>
            <w:r w:rsidRPr="00BB10D7">
              <w:rPr>
                <w:rFonts w:eastAsia="Times New Roman"/>
                <w:color w:val="000000"/>
                <w:sz w:val="20"/>
                <w:szCs w:val="22"/>
                <w:lang w:eastAsia="en-GB"/>
              </w:rPr>
              <w:t>8.69</w:t>
            </w:r>
          </w:p>
        </w:tc>
        <w:tc>
          <w:tcPr>
            <w:tcW w:w="1123" w:type="dxa"/>
            <w:tcBorders>
              <w:top w:val="nil"/>
              <w:left w:val="nil"/>
              <w:bottom w:val="single" w:sz="8" w:space="0" w:color="auto"/>
              <w:right w:val="single" w:sz="8" w:space="0" w:color="auto"/>
            </w:tcBorders>
            <w:shd w:val="clear" w:color="auto" w:fill="auto"/>
            <w:noWrap/>
            <w:vAlign w:val="center"/>
            <w:hideMark/>
          </w:tcPr>
          <w:p w:rsidR="00326723" w:rsidRPr="00BB10D7" w:rsidRDefault="00326723" w:rsidP="00A21AA8">
            <w:pPr>
              <w:jc w:val="center"/>
              <w:rPr>
                <w:rFonts w:eastAsia="Times New Roman"/>
                <w:color w:val="000000"/>
                <w:sz w:val="20"/>
                <w:szCs w:val="22"/>
                <w:lang w:eastAsia="en-GB"/>
              </w:rPr>
            </w:pPr>
            <w:r>
              <w:rPr>
                <w:rFonts w:eastAsia="Times New Roman"/>
                <w:color w:val="000000"/>
                <w:sz w:val="20"/>
                <w:szCs w:val="22"/>
                <w:lang w:eastAsia="en-GB"/>
              </w:rPr>
              <w:t>98</w:t>
            </w:r>
          </w:p>
        </w:tc>
        <w:tc>
          <w:tcPr>
            <w:tcW w:w="400" w:type="dxa"/>
            <w:tcBorders>
              <w:top w:val="nil"/>
              <w:left w:val="nil"/>
              <w:bottom w:val="nil"/>
              <w:right w:val="nil"/>
            </w:tcBorders>
            <w:shd w:val="clear" w:color="auto" w:fill="auto"/>
            <w:noWrap/>
            <w:vAlign w:val="bottom"/>
            <w:hideMark/>
          </w:tcPr>
          <w:p w:rsidR="00326723" w:rsidRPr="00BB10D7" w:rsidRDefault="00326723" w:rsidP="00A21AA8">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326723" w:rsidRPr="00BB10D7" w:rsidRDefault="00326723" w:rsidP="00A21AA8">
            <w:pPr>
              <w:rPr>
                <w:rFonts w:eastAsia="Times New Roman"/>
                <w:color w:val="000000"/>
                <w:sz w:val="20"/>
                <w:szCs w:val="22"/>
                <w:lang w:eastAsia="en-GB"/>
              </w:rPr>
            </w:pPr>
            <w:r w:rsidRPr="00BB10D7">
              <w:rPr>
                <w:rFonts w:eastAsia="Times New Roman"/>
                <w:color w:val="000000"/>
                <w:sz w:val="20"/>
                <w:szCs w:val="22"/>
                <w:lang w:eastAsia="en-GB"/>
              </w:rPr>
              <w:t>B</w:t>
            </w:r>
            <w:r>
              <w:rPr>
                <w:rFonts w:eastAsia="Times New Roman"/>
                <w:color w:val="000000"/>
                <w:sz w:val="20"/>
                <w:szCs w:val="22"/>
                <w:lang w:eastAsia="en-GB"/>
              </w:rPr>
              <w:t>A</w:t>
            </w:r>
            <w:r w:rsidRPr="00BB10D7">
              <w:rPr>
                <w:rFonts w:eastAsia="Times New Roman"/>
                <w:color w:val="000000"/>
                <w:sz w:val="20"/>
                <w:szCs w:val="22"/>
                <w:lang w:eastAsia="en-GB"/>
              </w:rPr>
              <w:t>ME</w:t>
            </w:r>
          </w:p>
        </w:tc>
        <w:tc>
          <w:tcPr>
            <w:tcW w:w="1510" w:type="dxa"/>
            <w:tcBorders>
              <w:top w:val="nil"/>
              <w:left w:val="nil"/>
              <w:bottom w:val="single" w:sz="8" w:space="0" w:color="auto"/>
              <w:right w:val="single" w:sz="8" w:space="0" w:color="auto"/>
            </w:tcBorders>
            <w:shd w:val="clear" w:color="auto" w:fill="auto"/>
            <w:noWrap/>
            <w:vAlign w:val="center"/>
            <w:hideMark/>
          </w:tcPr>
          <w:p w:rsidR="00326723" w:rsidRDefault="00326723">
            <w:pPr>
              <w:jc w:val="center"/>
              <w:rPr>
                <w:sz w:val="20"/>
                <w:szCs w:val="20"/>
              </w:rPr>
            </w:pPr>
            <w:r>
              <w:rPr>
                <w:sz w:val="20"/>
                <w:szCs w:val="20"/>
              </w:rPr>
              <w:t>8.46</w:t>
            </w:r>
          </w:p>
        </w:tc>
        <w:tc>
          <w:tcPr>
            <w:tcW w:w="1123" w:type="dxa"/>
            <w:tcBorders>
              <w:top w:val="nil"/>
              <w:left w:val="nil"/>
              <w:bottom w:val="single" w:sz="8" w:space="0" w:color="auto"/>
              <w:right w:val="single" w:sz="8" w:space="0" w:color="auto"/>
            </w:tcBorders>
            <w:shd w:val="clear" w:color="auto" w:fill="auto"/>
            <w:noWrap/>
            <w:vAlign w:val="center"/>
            <w:hideMark/>
          </w:tcPr>
          <w:p w:rsidR="00326723" w:rsidRDefault="00326723">
            <w:pPr>
              <w:jc w:val="center"/>
              <w:rPr>
                <w:sz w:val="20"/>
                <w:szCs w:val="20"/>
              </w:rPr>
            </w:pPr>
            <w:r>
              <w:rPr>
                <w:sz w:val="20"/>
                <w:szCs w:val="20"/>
              </w:rPr>
              <w:t>111</w:t>
            </w:r>
          </w:p>
        </w:tc>
        <w:tc>
          <w:tcPr>
            <w:tcW w:w="400" w:type="dxa"/>
            <w:tcBorders>
              <w:top w:val="nil"/>
              <w:left w:val="nil"/>
              <w:bottom w:val="nil"/>
              <w:right w:val="nil"/>
            </w:tcBorders>
            <w:shd w:val="clear" w:color="auto" w:fill="auto"/>
            <w:noWrap/>
            <w:vAlign w:val="bottom"/>
            <w:hideMark/>
          </w:tcPr>
          <w:p w:rsidR="00326723" w:rsidRPr="00BB10D7" w:rsidRDefault="00326723" w:rsidP="00A21AA8">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326723" w:rsidRPr="00BB10D7" w:rsidRDefault="00326723" w:rsidP="00A21AA8">
            <w:pPr>
              <w:rPr>
                <w:rFonts w:eastAsia="Times New Roman"/>
                <w:color w:val="000000"/>
                <w:sz w:val="20"/>
                <w:szCs w:val="22"/>
                <w:lang w:eastAsia="en-GB"/>
              </w:rPr>
            </w:pPr>
            <w:r w:rsidRPr="00BB10D7">
              <w:rPr>
                <w:rFonts w:eastAsia="Times New Roman"/>
                <w:color w:val="000000"/>
                <w:sz w:val="20"/>
                <w:szCs w:val="22"/>
                <w:lang w:eastAsia="en-GB"/>
              </w:rPr>
              <w:t>B</w:t>
            </w:r>
            <w:r>
              <w:rPr>
                <w:rFonts w:eastAsia="Times New Roman"/>
                <w:color w:val="000000"/>
                <w:sz w:val="20"/>
                <w:szCs w:val="22"/>
                <w:lang w:eastAsia="en-GB"/>
              </w:rPr>
              <w:t>A</w:t>
            </w:r>
            <w:r w:rsidRPr="00BB10D7">
              <w:rPr>
                <w:rFonts w:eastAsia="Times New Roman"/>
                <w:color w:val="000000"/>
                <w:sz w:val="20"/>
                <w:szCs w:val="22"/>
                <w:lang w:eastAsia="en-GB"/>
              </w:rPr>
              <w:t>ME</w:t>
            </w:r>
          </w:p>
        </w:tc>
        <w:tc>
          <w:tcPr>
            <w:tcW w:w="1510" w:type="dxa"/>
            <w:tcBorders>
              <w:top w:val="nil"/>
              <w:left w:val="nil"/>
              <w:bottom w:val="single" w:sz="8" w:space="0" w:color="auto"/>
              <w:right w:val="single" w:sz="8" w:space="0" w:color="auto"/>
            </w:tcBorders>
            <w:shd w:val="clear" w:color="auto" w:fill="auto"/>
            <w:noWrap/>
            <w:vAlign w:val="center"/>
          </w:tcPr>
          <w:p w:rsidR="00326723" w:rsidRPr="00BB10D7" w:rsidRDefault="006418D2" w:rsidP="00A21AA8">
            <w:pPr>
              <w:jc w:val="center"/>
              <w:rPr>
                <w:rFonts w:eastAsia="Times New Roman"/>
                <w:color w:val="000000"/>
                <w:sz w:val="20"/>
                <w:szCs w:val="22"/>
                <w:lang w:eastAsia="en-GB"/>
              </w:rPr>
            </w:pPr>
            <w:r>
              <w:rPr>
                <w:rFonts w:eastAsia="Times New Roman"/>
                <w:color w:val="000000"/>
                <w:sz w:val="20"/>
                <w:szCs w:val="22"/>
                <w:lang w:eastAsia="en-GB"/>
              </w:rPr>
              <w:t>8.95</w:t>
            </w:r>
          </w:p>
        </w:tc>
        <w:tc>
          <w:tcPr>
            <w:tcW w:w="1123" w:type="dxa"/>
            <w:tcBorders>
              <w:top w:val="nil"/>
              <w:left w:val="nil"/>
              <w:bottom w:val="single" w:sz="8" w:space="0" w:color="auto"/>
              <w:right w:val="single" w:sz="8" w:space="0" w:color="auto"/>
            </w:tcBorders>
            <w:shd w:val="clear" w:color="auto" w:fill="auto"/>
            <w:noWrap/>
            <w:vAlign w:val="center"/>
          </w:tcPr>
          <w:p w:rsidR="00326723" w:rsidRPr="00BB10D7" w:rsidRDefault="006418D2" w:rsidP="00A21AA8">
            <w:pPr>
              <w:jc w:val="center"/>
              <w:rPr>
                <w:rFonts w:eastAsia="Times New Roman"/>
                <w:color w:val="000000"/>
                <w:sz w:val="20"/>
                <w:szCs w:val="22"/>
                <w:lang w:eastAsia="en-GB"/>
              </w:rPr>
            </w:pPr>
            <w:r>
              <w:rPr>
                <w:rFonts w:eastAsia="Times New Roman"/>
                <w:color w:val="000000"/>
                <w:sz w:val="20"/>
                <w:szCs w:val="22"/>
                <w:lang w:eastAsia="en-GB"/>
              </w:rPr>
              <w:t>119</w:t>
            </w:r>
          </w:p>
        </w:tc>
      </w:tr>
      <w:tr w:rsidR="00326723" w:rsidRPr="00CA74BC" w:rsidTr="005E3DC3">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326723" w:rsidRPr="00BB10D7" w:rsidRDefault="00326723" w:rsidP="00A21AA8">
            <w:pPr>
              <w:rPr>
                <w:rFonts w:eastAsia="Times New Roman"/>
                <w:color w:val="000000"/>
                <w:sz w:val="20"/>
                <w:szCs w:val="22"/>
                <w:lang w:eastAsia="en-GB"/>
              </w:rPr>
            </w:pPr>
            <w:r w:rsidRPr="00BB10D7">
              <w:rPr>
                <w:rFonts w:eastAsia="Times New Roman"/>
                <w:color w:val="000000"/>
                <w:sz w:val="20"/>
                <w:szCs w:val="22"/>
                <w:lang w:eastAsia="en-GB"/>
              </w:rPr>
              <w:t>Unspecified</w:t>
            </w:r>
          </w:p>
        </w:tc>
        <w:tc>
          <w:tcPr>
            <w:tcW w:w="1510" w:type="dxa"/>
            <w:tcBorders>
              <w:top w:val="nil"/>
              <w:left w:val="nil"/>
              <w:bottom w:val="single" w:sz="8" w:space="0" w:color="auto"/>
              <w:right w:val="single" w:sz="8" w:space="0" w:color="auto"/>
            </w:tcBorders>
            <w:shd w:val="clear" w:color="auto" w:fill="auto"/>
            <w:noWrap/>
            <w:vAlign w:val="center"/>
            <w:hideMark/>
          </w:tcPr>
          <w:p w:rsidR="00326723" w:rsidRPr="00BB10D7" w:rsidRDefault="00326723" w:rsidP="00A21AA8">
            <w:pPr>
              <w:jc w:val="center"/>
              <w:rPr>
                <w:rFonts w:eastAsia="Times New Roman"/>
                <w:color w:val="000000"/>
                <w:sz w:val="20"/>
                <w:szCs w:val="22"/>
                <w:lang w:eastAsia="en-GB"/>
              </w:rPr>
            </w:pPr>
            <w:r w:rsidRPr="00BB10D7">
              <w:rPr>
                <w:rFonts w:eastAsia="Times New Roman"/>
                <w:color w:val="000000"/>
                <w:sz w:val="20"/>
                <w:szCs w:val="22"/>
                <w:lang w:eastAsia="en-GB"/>
              </w:rPr>
              <w:t>5.50</w:t>
            </w:r>
          </w:p>
        </w:tc>
        <w:tc>
          <w:tcPr>
            <w:tcW w:w="1123" w:type="dxa"/>
            <w:tcBorders>
              <w:top w:val="nil"/>
              <w:left w:val="nil"/>
              <w:bottom w:val="single" w:sz="8" w:space="0" w:color="auto"/>
              <w:right w:val="single" w:sz="8" w:space="0" w:color="auto"/>
            </w:tcBorders>
            <w:shd w:val="clear" w:color="auto" w:fill="auto"/>
            <w:noWrap/>
            <w:vAlign w:val="center"/>
            <w:hideMark/>
          </w:tcPr>
          <w:p w:rsidR="00326723" w:rsidRPr="00BB10D7" w:rsidRDefault="00326723" w:rsidP="00A21AA8">
            <w:pPr>
              <w:jc w:val="center"/>
              <w:rPr>
                <w:rFonts w:eastAsia="Times New Roman"/>
                <w:color w:val="000000"/>
                <w:sz w:val="20"/>
                <w:szCs w:val="22"/>
                <w:lang w:eastAsia="en-GB"/>
              </w:rPr>
            </w:pPr>
            <w:r>
              <w:rPr>
                <w:rFonts w:eastAsia="Times New Roman"/>
                <w:color w:val="000000"/>
                <w:sz w:val="20"/>
                <w:szCs w:val="22"/>
                <w:lang w:eastAsia="en-GB"/>
              </w:rPr>
              <w:t>80</w:t>
            </w:r>
          </w:p>
        </w:tc>
        <w:tc>
          <w:tcPr>
            <w:tcW w:w="400" w:type="dxa"/>
            <w:tcBorders>
              <w:top w:val="nil"/>
              <w:left w:val="nil"/>
              <w:bottom w:val="nil"/>
              <w:right w:val="nil"/>
            </w:tcBorders>
            <w:shd w:val="clear" w:color="auto" w:fill="auto"/>
            <w:noWrap/>
            <w:vAlign w:val="bottom"/>
            <w:hideMark/>
          </w:tcPr>
          <w:p w:rsidR="00326723" w:rsidRPr="00BB10D7" w:rsidRDefault="00326723" w:rsidP="00A21AA8">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326723" w:rsidRPr="00BB10D7" w:rsidRDefault="00326723" w:rsidP="00A21AA8">
            <w:pPr>
              <w:rPr>
                <w:rFonts w:eastAsia="Times New Roman"/>
                <w:color w:val="000000"/>
                <w:sz w:val="20"/>
                <w:szCs w:val="22"/>
                <w:lang w:eastAsia="en-GB"/>
              </w:rPr>
            </w:pPr>
            <w:r w:rsidRPr="00BB10D7">
              <w:rPr>
                <w:rFonts w:eastAsia="Times New Roman"/>
                <w:color w:val="000000"/>
                <w:sz w:val="20"/>
                <w:szCs w:val="22"/>
                <w:lang w:eastAsia="en-GB"/>
              </w:rPr>
              <w:t>Unspecified</w:t>
            </w:r>
          </w:p>
        </w:tc>
        <w:tc>
          <w:tcPr>
            <w:tcW w:w="1510" w:type="dxa"/>
            <w:tcBorders>
              <w:top w:val="nil"/>
              <w:left w:val="nil"/>
              <w:bottom w:val="single" w:sz="8" w:space="0" w:color="auto"/>
              <w:right w:val="single" w:sz="8" w:space="0" w:color="auto"/>
            </w:tcBorders>
            <w:shd w:val="clear" w:color="auto" w:fill="auto"/>
            <w:noWrap/>
            <w:vAlign w:val="center"/>
            <w:hideMark/>
          </w:tcPr>
          <w:p w:rsidR="00326723" w:rsidRDefault="00326723">
            <w:pPr>
              <w:jc w:val="center"/>
              <w:rPr>
                <w:sz w:val="20"/>
                <w:szCs w:val="20"/>
              </w:rPr>
            </w:pPr>
            <w:r>
              <w:rPr>
                <w:sz w:val="20"/>
                <w:szCs w:val="20"/>
              </w:rPr>
              <w:t>6.78</w:t>
            </w:r>
          </w:p>
        </w:tc>
        <w:tc>
          <w:tcPr>
            <w:tcW w:w="1123" w:type="dxa"/>
            <w:tcBorders>
              <w:top w:val="nil"/>
              <w:left w:val="nil"/>
              <w:bottom w:val="single" w:sz="8" w:space="0" w:color="auto"/>
              <w:right w:val="single" w:sz="8" w:space="0" w:color="auto"/>
            </w:tcBorders>
            <w:shd w:val="clear" w:color="auto" w:fill="auto"/>
            <w:noWrap/>
            <w:vAlign w:val="center"/>
            <w:hideMark/>
          </w:tcPr>
          <w:p w:rsidR="00326723" w:rsidRDefault="00326723">
            <w:pPr>
              <w:jc w:val="center"/>
              <w:rPr>
                <w:sz w:val="20"/>
                <w:szCs w:val="20"/>
              </w:rPr>
            </w:pPr>
            <w:r>
              <w:rPr>
                <w:sz w:val="20"/>
                <w:szCs w:val="20"/>
              </w:rPr>
              <w:t>89</w:t>
            </w:r>
          </w:p>
        </w:tc>
        <w:tc>
          <w:tcPr>
            <w:tcW w:w="400" w:type="dxa"/>
            <w:tcBorders>
              <w:top w:val="nil"/>
              <w:left w:val="nil"/>
              <w:bottom w:val="nil"/>
              <w:right w:val="nil"/>
            </w:tcBorders>
            <w:shd w:val="clear" w:color="auto" w:fill="auto"/>
            <w:noWrap/>
            <w:vAlign w:val="bottom"/>
            <w:hideMark/>
          </w:tcPr>
          <w:p w:rsidR="00326723" w:rsidRPr="00BB10D7" w:rsidRDefault="00326723" w:rsidP="00A21AA8">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326723" w:rsidRPr="00BB10D7" w:rsidRDefault="00326723" w:rsidP="00A21AA8">
            <w:pPr>
              <w:rPr>
                <w:rFonts w:eastAsia="Times New Roman"/>
                <w:color w:val="000000"/>
                <w:sz w:val="20"/>
                <w:szCs w:val="22"/>
                <w:lang w:eastAsia="en-GB"/>
              </w:rPr>
            </w:pPr>
            <w:r w:rsidRPr="00BB10D7">
              <w:rPr>
                <w:rFonts w:eastAsia="Times New Roman"/>
                <w:color w:val="000000"/>
                <w:sz w:val="20"/>
                <w:szCs w:val="22"/>
                <w:lang w:eastAsia="en-GB"/>
              </w:rPr>
              <w:t>Unspecified</w:t>
            </w:r>
          </w:p>
        </w:tc>
        <w:tc>
          <w:tcPr>
            <w:tcW w:w="1510" w:type="dxa"/>
            <w:tcBorders>
              <w:top w:val="nil"/>
              <w:left w:val="nil"/>
              <w:bottom w:val="single" w:sz="8" w:space="0" w:color="auto"/>
              <w:right w:val="single" w:sz="8" w:space="0" w:color="auto"/>
            </w:tcBorders>
            <w:shd w:val="clear" w:color="auto" w:fill="auto"/>
            <w:noWrap/>
            <w:vAlign w:val="center"/>
          </w:tcPr>
          <w:p w:rsidR="00326723" w:rsidRPr="00BB10D7" w:rsidRDefault="006418D2" w:rsidP="00A21AA8">
            <w:pPr>
              <w:jc w:val="center"/>
              <w:rPr>
                <w:rFonts w:eastAsia="Times New Roman"/>
                <w:color w:val="000000"/>
                <w:sz w:val="20"/>
                <w:szCs w:val="22"/>
                <w:lang w:eastAsia="en-GB"/>
              </w:rPr>
            </w:pPr>
            <w:r>
              <w:rPr>
                <w:rFonts w:eastAsia="Times New Roman"/>
                <w:color w:val="000000"/>
                <w:sz w:val="20"/>
                <w:szCs w:val="22"/>
                <w:lang w:eastAsia="en-GB"/>
              </w:rPr>
              <w:t>6.92</w:t>
            </w:r>
          </w:p>
        </w:tc>
        <w:tc>
          <w:tcPr>
            <w:tcW w:w="1123" w:type="dxa"/>
            <w:tcBorders>
              <w:top w:val="nil"/>
              <w:left w:val="nil"/>
              <w:bottom w:val="single" w:sz="8" w:space="0" w:color="auto"/>
              <w:right w:val="single" w:sz="8" w:space="0" w:color="auto"/>
            </w:tcBorders>
            <w:shd w:val="clear" w:color="auto" w:fill="auto"/>
            <w:noWrap/>
            <w:vAlign w:val="center"/>
          </w:tcPr>
          <w:p w:rsidR="00326723" w:rsidRPr="00BB10D7" w:rsidRDefault="006418D2" w:rsidP="00A21AA8">
            <w:pPr>
              <w:jc w:val="center"/>
              <w:rPr>
                <w:rFonts w:eastAsia="Times New Roman"/>
                <w:color w:val="000000"/>
                <w:sz w:val="20"/>
                <w:szCs w:val="22"/>
                <w:lang w:eastAsia="en-GB"/>
              </w:rPr>
            </w:pPr>
            <w:r>
              <w:rPr>
                <w:rFonts w:eastAsia="Times New Roman"/>
                <w:color w:val="000000"/>
                <w:sz w:val="20"/>
                <w:szCs w:val="22"/>
                <w:lang w:eastAsia="en-GB"/>
              </w:rPr>
              <w:t>92</w:t>
            </w:r>
          </w:p>
        </w:tc>
      </w:tr>
      <w:tr w:rsidR="00A21AA8" w:rsidRPr="00CA74BC" w:rsidTr="00A21AA8">
        <w:trPr>
          <w:trHeight w:val="315"/>
        </w:trPr>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A21AA8" w:rsidRPr="00BB10D7" w:rsidRDefault="00A21AA8" w:rsidP="00A21AA8">
            <w:pPr>
              <w:rPr>
                <w:rFonts w:eastAsia="Times New Roman"/>
                <w:b/>
                <w:bCs/>
                <w:color w:val="000000"/>
                <w:sz w:val="20"/>
                <w:szCs w:val="22"/>
                <w:lang w:eastAsia="en-GB"/>
              </w:rPr>
            </w:pPr>
            <w:r w:rsidRPr="00BB10D7">
              <w:rPr>
                <w:rFonts w:eastAsia="Times New Roman"/>
                <w:b/>
                <w:bCs/>
                <w:color w:val="000000"/>
                <w:sz w:val="20"/>
                <w:szCs w:val="22"/>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A21AA8" w:rsidRPr="00BB10D7" w:rsidRDefault="00A21AA8" w:rsidP="00BB10D7">
            <w:pPr>
              <w:jc w:val="center"/>
              <w:rPr>
                <w:rFonts w:eastAsia="Times New Roman"/>
                <w:b/>
                <w:bCs/>
                <w:color w:val="000000"/>
                <w:sz w:val="20"/>
                <w:szCs w:val="22"/>
                <w:lang w:eastAsia="en-GB"/>
              </w:rPr>
            </w:pPr>
            <w:r w:rsidRPr="00BB10D7">
              <w:rPr>
                <w:rFonts w:eastAsia="Times New Roman"/>
                <w:b/>
                <w:bCs/>
                <w:color w:val="000000"/>
                <w:sz w:val="20"/>
                <w:szCs w:val="22"/>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A21AA8" w:rsidRPr="00BB10D7" w:rsidRDefault="00A21AA8" w:rsidP="00A21AA8">
            <w:pPr>
              <w:jc w:val="center"/>
              <w:rPr>
                <w:rFonts w:eastAsia="Times New Roman"/>
                <w:b/>
                <w:bCs/>
                <w:color w:val="000000"/>
                <w:sz w:val="20"/>
                <w:szCs w:val="22"/>
                <w:lang w:eastAsia="en-GB"/>
              </w:rPr>
            </w:pPr>
            <w:r w:rsidRPr="00BB10D7">
              <w:rPr>
                <w:rFonts w:eastAsia="Times New Roman"/>
                <w:b/>
                <w:bCs/>
                <w:color w:val="000000"/>
                <w:sz w:val="20"/>
                <w:szCs w:val="22"/>
                <w:lang w:eastAsia="en-GB"/>
              </w:rPr>
              <w:t>1254</w:t>
            </w:r>
          </w:p>
        </w:tc>
        <w:tc>
          <w:tcPr>
            <w:tcW w:w="400" w:type="dxa"/>
            <w:tcBorders>
              <w:top w:val="nil"/>
              <w:left w:val="nil"/>
              <w:bottom w:val="nil"/>
              <w:right w:val="nil"/>
            </w:tcBorders>
            <w:shd w:val="clear" w:color="auto" w:fill="auto"/>
            <w:noWrap/>
            <w:vAlign w:val="bottom"/>
            <w:hideMark/>
          </w:tcPr>
          <w:p w:rsidR="00A21AA8" w:rsidRPr="00BB10D7" w:rsidRDefault="00A21AA8" w:rsidP="00A21AA8">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A21AA8" w:rsidRPr="00BB10D7" w:rsidRDefault="00A21AA8" w:rsidP="00A21AA8">
            <w:pPr>
              <w:rPr>
                <w:rFonts w:eastAsia="Times New Roman"/>
                <w:b/>
                <w:bCs/>
                <w:color w:val="000000"/>
                <w:sz w:val="20"/>
                <w:szCs w:val="22"/>
                <w:lang w:eastAsia="en-GB"/>
              </w:rPr>
            </w:pPr>
            <w:r w:rsidRPr="00BB10D7">
              <w:rPr>
                <w:rFonts w:eastAsia="Times New Roman"/>
                <w:b/>
                <w:bCs/>
                <w:color w:val="000000"/>
                <w:sz w:val="20"/>
                <w:szCs w:val="22"/>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A21AA8" w:rsidRPr="00BB10D7" w:rsidRDefault="00A21AA8" w:rsidP="00BB10D7">
            <w:pPr>
              <w:jc w:val="center"/>
              <w:rPr>
                <w:rFonts w:eastAsia="Times New Roman"/>
                <w:b/>
                <w:bCs/>
                <w:color w:val="000000"/>
                <w:sz w:val="20"/>
                <w:szCs w:val="22"/>
                <w:lang w:eastAsia="en-GB"/>
              </w:rPr>
            </w:pPr>
            <w:r w:rsidRPr="00BB10D7">
              <w:rPr>
                <w:rFonts w:eastAsia="Times New Roman"/>
                <w:b/>
                <w:bCs/>
                <w:color w:val="000000"/>
                <w:sz w:val="20"/>
                <w:szCs w:val="22"/>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A21AA8" w:rsidRPr="00BB10D7" w:rsidRDefault="00A21AA8" w:rsidP="00326723">
            <w:pPr>
              <w:jc w:val="center"/>
              <w:rPr>
                <w:rFonts w:eastAsia="Times New Roman"/>
                <w:b/>
                <w:bCs/>
                <w:color w:val="000000"/>
                <w:sz w:val="20"/>
                <w:szCs w:val="22"/>
                <w:lang w:eastAsia="en-GB"/>
              </w:rPr>
            </w:pPr>
            <w:r w:rsidRPr="00BB10D7">
              <w:rPr>
                <w:rFonts w:eastAsia="Times New Roman"/>
                <w:b/>
                <w:bCs/>
                <w:color w:val="000000"/>
                <w:sz w:val="20"/>
                <w:szCs w:val="22"/>
                <w:lang w:eastAsia="en-GB"/>
              </w:rPr>
              <w:t>13</w:t>
            </w:r>
            <w:r w:rsidR="00326723">
              <w:rPr>
                <w:rFonts w:eastAsia="Times New Roman"/>
                <w:b/>
                <w:bCs/>
                <w:color w:val="000000"/>
                <w:sz w:val="20"/>
                <w:szCs w:val="22"/>
                <w:lang w:eastAsia="en-GB"/>
              </w:rPr>
              <w:t>12</w:t>
            </w:r>
          </w:p>
        </w:tc>
        <w:tc>
          <w:tcPr>
            <w:tcW w:w="400" w:type="dxa"/>
            <w:tcBorders>
              <w:top w:val="nil"/>
              <w:left w:val="nil"/>
              <w:bottom w:val="nil"/>
              <w:right w:val="nil"/>
            </w:tcBorders>
            <w:shd w:val="clear" w:color="auto" w:fill="auto"/>
            <w:noWrap/>
            <w:vAlign w:val="bottom"/>
            <w:hideMark/>
          </w:tcPr>
          <w:p w:rsidR="00A21AA8" w:rsidRPr="00BB10D7" w:rsidRDefault="00A21AA8" w:rsidP="00A21AA8">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A21AA8" w:rsidRPr="00BB10D7" w:rsidRDefault="00A21AA8" w:rsidP="00A21AA8">
            <w:pPr>
              <w:rPr>
                <w:rFonts w:eastAsia="Times New Roman"/>
                <w:b/>
                <w:bCs/>
                <w:color w:val="000000"/>
                <w:sz w:val="20"/>
                <w:szCs w:val="22"/>
                <w:lang w:eastAsia="en-GB"/>
              </w:rPr>
            </w:pPr>
            <w:r w:rsidRPr="00BB10D7">
              <w:rPr>
                <w:rFonts w:eastAsia="Times New Roman"/>
                <w:b/>
                <w:bCs/>
                <w:color w:val="000000"/>
                <w:sz w:val="20"/>
                <w:szCs w:val="22"/>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A21AA8" w:rsidRPr="00BB10D7" w:rsidRDefault="00A21AA8" w:rsidP="00BB10D7">
            <w:pPr>
              <w:jc w:val="center"/>
              <w:rPr>
                <w:rFonts w:eastAsia="Times New Roman"/>
                <w:b/>
                <w:bCs/>
                <w:color w:val="000000"/>
                <w:sz w:val="20"/>
                <w:szCs w:val="22"/>
                <w:lang w:eastAsia="en-GB"/>
              </w:rPr>
            </w:pPr>
            <w:r w:rsidRPr="00BB10D7">
              <w:rPr>
                <w:rFonts w:eastAsia="Times New Roman"/>
                <w:b/>
                <w:bCs/>
                <w:color w:val="000000"/>
                <w:sz w:val="20"/>
                <w:szCs w:val="22"/>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A21AA8" w:rsidRPr="00BB10D7" w:rsidRDefault="006418D2" w:rsidP="00A21AA8">
            <w:pPr>
              <w:jc w:val="center"/>
              <w:rPr>
                <w:rFonts w:eastAsia="Times New Roman"/>
                <w:b/>
                <w:bCs/>
                <w:color w:val="000000"/>
                <w:sz w:val="20"/>
                <w:szCs w:val="22"/>
                <w:lang w:eastAsia="en-GB"/>
              </w:rPr>
            </w:pPr>
            <w:r>
              <w:rPr>
                <w:rFonts w:eastAsia="Times New Roman"/>
                <w:b/>
                <w:bCs/>
                <w:color w:val="000000"/>
                <w:sz w:val="20"/>
                <w:szCs w:val="22"/>
                <w:lang w:eastAsia="en-GB"/>
              </w:rPr>
              <w:t>1329</w:t>
            </w:r>
          </w:p>
        </w:tc>
      </w:tr>
    </w:tbl>
    <w:p w:rsidR="00A21AA8" w:rsidRPr="00CA74BC" w:rsidRDefault="00A21AA8" w:rsidP="008A22C6">
      <w:pPr>
        <w:rPr>
          <w:sz w:val="22"/>
          <w:szCs w:val="22"/>
        </w:rPr>
      </w:pPr>
    </w:p>
    <w:p w:rsidR="004F7AE3" w:rsidRPr="000540D8" w:rsidRDefault="00A21AA8" w:rsidP="008A22C6">
      <w:pPr>
        <w:rPr>
          <w:szCs w:val="22"/>
        </w:rPr>
      </w:pPr>
      <w:r w:rsidRPr="000540D8">
        <w:rPr>
          <w:b/>
          <w:szCs w:val="22"/>
        </w:rPr>
        <w:t>Commentary</w:t>
      </w:r>
      <w:r w:rsidRPr="002E1471">
        <w:rPr>
          <w:b/>
          <w:szCs w:val="22"/>
        </w:rPr>
        <w:t>:</w:t>
      </w:r>
      <w:r w:rsidR="00FC2B93" w:rsidRPr="002E1471">
        <w:rPr>
          <w:b/>
          <w:szCs w:val="22"/>
        </w:rPr>
        <w:t xml:space="preserve"> </w:t>
      </w:r>
      <w:r w:rsidR="00FC2B93" w:rsidRPr="002E1471">
        <w:rPr>
          <w:szCs w:val="22"/>
        </w:rPr>
        <w:t xml:space="preserve">Although the </w:t>
      </w:r>
      <w:r w:rsidR="00983B9A" w:rsidRPr="002E1471">
        <w:rPr>
          <w:szCs w:val="22"/>
        </w:rPr>
        <w:t>number</w:t>
      </w:r>
      <w:r w:rsidR="00FC2B93" w:rsidRPr="002E1471">
        <w:rPr>
          <w:szCs w:val="22"/>
        </w:rPr>
        <w:t xml:space="preserve"> of employees from a BAME group has steadily increased since </w:t>
      </w:r>
      <w:r w:rsidR="005B5547" w:rsidRPr="002E1471">
        <w:rPr>
          <w:szCs w:val="22"/>
        </w:rPr>
        <w:t>March 20</w:t>
      </w:r>
      <w:r w:rsidR="00FC2B93" w:rsidRPr="002E1471">
        <w:rPr>
          <w:szCs w:val="22"/>
        </w:rPr>
        <w:t xml:space="preserve">16 and </w:t>
      </w:r>
      <w:r w:rsidR="005B5547" w:rsidRPr="002E1471">
        <w:rPr>
          <w:szCs w:val="22"/>
        </w:rPr>
        <w:t xml:space="preserve">is </w:t>
      </w:r>
      <w:r w:rsidR="00FC2B93" w:rsidRPr="002E1471">
        <w:rPr>
          <w:szCs w:val="22"/>
        </w:rPr>
        <w:t xml:space="preserve">at </w:t>
      </w:r>
      <w:r w:rsidR="00C1549D">
        <w:rPr>
          <w:szCs w:val="22"/>
        </w:rPr>
        <w:t xml:space="preserve">a </w:t>
      </w:r>
      <w:r w:rsidR="00FC2B93" w:rsidRPr="002E1471">
        <w:rPr>
          <w:szCs w:val="22"/>
        </w:rPr>
        <w:t>record high</w:t>
      </w:r>
      <w:r w:rsidR="00983B9A" w:rsidRPr="002E1471">
        <w:rPr>
          <w:szCs w:val="22"/>
        </w:rPr>
        <w:t xml:space="preserve"> as at 31 March 2018</w:t>
      </w:r>
      <w:r w:rsidR="00FC2B93" w:rsidRPr="002E1471">
        <w:rPr>
          <w:szCs w:val="22"/>
        </w:rPr>
        <w:t xml:space="preserve">, </w:t>
      </w:r>
      <w:r w:rsidR="008B020A">
        <w:rPr>
          <w:szCs w:val="22"/>
        </w:rPr>
        <w:t xml:space="preserve">we need to ensure that </w:t>
      </w:r>
      <w:r w:rsidR="00C1549D">
        <w:rPr>
          <w:szCs w:val="22"/>
        </w:rPr>
        <w:t>more people feel able to declare their ethnic origin.  This will enable us to compile a more comprehensive and accurate picture of our employee make-up.</w:t>
      </w:r>
    </w:p>
    <w:p w:rsidR="004F7AE3" w:rsidRPr="00CA74BC" w:rsidRDefault="004F7AE3" w:rsidP="008A22C6">
      <w:pPr>
        <w:rPr>
          <w:sz w:val="22"/>
          <w:szCs w:val="22"/>
        </w:rPr>
      </w:pPr>
    </w:p>
    <w:p w:rsidR="002D0A19" w:rsidRDefault="002D0A19">
      <w:pPr>
        <w:rPr>
          <w:b/>
          <w:szCs w:val="22"/>
        </w:rPr>
      </w:pPr>
      <w:r>
        <w:rPr>
          <w:b/>
          <w:szCs w:val="22"/>
        </w:rPr>
        <w:br w:type="page"/>
      </w:r>
    </w:p>
    <w:p w:rsidR="00ED6AAB" w:rsidRDefault="00ED6AAB" w:rsidP="00ED6AAB">
      <w:pPr>
        <w:rPr>
          <w:b/>
          <w:szCs w:val="22"/>
        </w:rPr>
      </w:pPr>
      <w:r>
        <w:rPr>
          <w:b/>
          <w:szCs w:val="22"/>
        </w:rPr>
        <w:lastRenderedPageBreak/>
        <w:t xml:space="preserve">OXFORD GENERAL POPULATION DATA: </w:t>
      </w:r>
      <w:r w:rsidR="00DA2CB8">
        <w:rPr>
          <w:b/>
          <w:szCs w:val="22"/>
        </w:rPr>
        <w:t>AGE</w:t>
      </w:r>
    </w:p>
    <w:p w:rsidR="00ED6AAB" w:rsidRDefault="00ED6AAB" w:rsidP="008A22C6">
      <w:pPr>
        <w:rPr>
          <w:b/>
          <w:szCs w:val="22"/>
        </w:rPr>
      </w:pPr>
    </w:p>
    <w:p w:rsidR="00ED6AAB" w:rsidRDefault="00ED6AAB" w:rsidP="008A22C6">
      <w:pPr>
        <w:rPr>
          <w:b/>
          <w:szCs w:val="22"/>
        </w:rPr>
      </w:pPr>
      <w:r>
        <w:rPr>
          <w:noProof/>
          <w:lang w:eastAsia="en-GB"/>
        </w:rPr>
        <w:drawing>
          <wp:inline distT="0" distB="0" distL="0" distR="0" wp14:anchorId="237C38B7" wp14:editId="6F989553">
            <wp:extent cx="8058150" cy="4267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6AAB" w:rsidRDefault="00ED6AAB" w:rsidP="008A22C6">
      <w:pPr>
        <w:rPr>
          <w:b/>
          <w:szCs w:val="22"/>
        </w:rPr>
      </w:pPr>
    </w:p>
    <w:p w:rsidR="00ED6AAB" w:rsidRDefault="00ED6AAB" w:rsidP="008A22C6">
      <w:pPr>
        <w:rPr>
          <w:b/>
          <w:szCs w:val="22"/>
        </w:rPr>
      </w:pPr>
    </w:p>
    <w:p w:rsidR="00ED6AAB" w:rsidRDefault="00ED6AAB" w:rsidP="008A22C6">
      <w:pPr>
        <w:rPr>
          <w:b/>
          <w:szCs w:val="22"/>
        </w:rPr>
      </w:pPr>
    </w:p>
    <w:p w:rsidR="00ED6AAB" w:rsidRDefault="00ED6AAB" w:rsidP="008A22C6">
      <w:pPr>
        <w:rPr>
          <w:b/>
          <w:szCs w:val="22"/>
        </w:rPr>
      </w:pPr>
    </w:p>
    <w:p w:rsidR="00ED6AAB" w:rsidRDefault="00ED6AAB" w:rsidP="008A22C6">
      <w:pPr>
        <w:rPr>
          <w:b/>
          <w:szCs w:val="22"/>
        </w:rPr>
      </w:pPr>
    </w:p>
    <w:p w:rsidR="00ED6AAB" w:rsidRDefault="00ED6AAB" w:rsidP="008A22C6">
      <w:pPr>
        <w:rPr>
          <w:b/>
          <w:szCs w:val="22"/>
        </w:rPr>
      </w:pPr>
    </w:p>
    <w:p w:rsidR="00ED6AAB" w:rsidRDefault="00ED6AAB" w:rsidP="00ED6AAB">
      <w:pPr>
        <w:rPr>
          <w:b/>
          <w:szCs w:val="22"/>
        </w:rPr>
      </w:pPr>
      <w:r>
        <w:rPr>
          <w:b/>
          <w:szCs w:val="22"/>
        </w:rPr>
        <w:lastRenderedPageBreak/>
        <w:t>OXFORD GENERAL POPULATION DATA: ECONOMICALLY ACTIVE ETHNIC GROUPS</w:t>
      </w:r>
      <w:r w:rsidR="00DA2CB8">
        <w:rPr>
          <w:b/>
          <w:szCs w:val="22"/>
        </w:rPr>
        <w:t xml:space="preserve"> BY AGE CATEGORY</w:t>
      </w:r>
    </w:p>
    <w:p w:rsidR="00ED6AAB" w:rsidRDefault="00ED6AAB" w:rsidP="008A22C6">
      <w:pPr>
        <w:rPr>
          <w:b/>
          <w:szCs w:val="22"/>
        </w:rPr>
      </w:pPr>
    </w:p>
    <w:p w:rsidR="00ED6AAB" w:rsidRDefault="00ED6AAB" w:rsidP="008A22C6">
      <w:pPr>
        <w:rPr>
          <w:b/>
          <w:szCs w:val="22"/>
        </w:rPr>
      </w:pPr>
      <w:r>
        <w:rPr>
          <w:noProof/>
          <w:lang w:eastAsia="en-GB"/>
        </w:rPr>
        <w:drawing>
          <wp:inline distT="0" distB="0" distL="0" distR="0" wp14:anchorId="4BA590FB" wp14:editId="29B7C261">
            <wp:extent cx="8181975" cy="40386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6AAB" w:rsidRDefault="00ED6AAB" w:rsidP="008A22C6">
      <w:pPr>
        <w:rPr>
          <w:b/>
          <w:szCs w:val="22"/>
        </w:rPr>
      </w:pPr>
    </w:p>
    <w:p w:rsidR="00DA2CB8" w:rsidRDefault="00DA2CB8" w:rsidP="00ED6AAB">
      <w:pPr>
        <w:rPr>
          <w:b/>
          <w:szCs w:val="22"/>
        </w:rPr>
      </w:pPr>
    </w:p>
    <w:p w:rsidR="00ED6AAB" w:rsidRDefault="00ED6AAB">
      <w:pPr>
        <w:rPr>
          <w:b/>
          <w:szCs w:val="22"/>
        </w:rPr>
      </w:pPr>
      <w:r>
        <w:rPr>
          <w:b/>
          <w:szCs w:val="22"/>
        </w:rPr>
        <w:br w:type="page"/>
      </w:r>
    </w:p>
    <w:p w:rsidR="00ED6AAB" w:rsidRDefault="00ED6AAB" w:rsidP="00ED6AAB">
      <w:pPr>
        <w:rPr>
          <w:b/>
          <w:szCs w:val="22"/>
        </w:rPr>
      </w:pPr>
      <w:r>
        <w:rPr>
          <w:b/>
          <w:szCs w:val="22"/>
        </w:rPr>
        <w:lastRenderedPageBreak/>
        <w:t>WORKFORCE PROFILE (AGE)</w:t>
      </w:r>
    </w:p>
    <w:p w:rsidR="00D27E5B" w:rsidRDefault="00D27E5B" w:rsidP="008A22C6">
      <w:pPr>
        <w:rPr>
          <w:sz w:val="22"/>
          <w:szCs w:val="22"/>
        </w:rPr>
      </w:pPr>
    </w:p>
    <w:tbl>
      <w:tblPr>
        <w:tblW w:w="13112" w:type="dxa"/>
        <w:tblInd w:w="93" w:type="dxa"/>
        <w:tblLook w:val="04A0" w:firstRow="1" w:lastRow="0" w:firstColumn="1" w:lastColumn="0" w:noHBand="0" w:noVBand="1"/>
      </w:tblPr>
      <w:tblGrid>
        <w:gridCol w:w="1471"/>
        <w:gridCol w:w="1510"/>
        <w:gridCol w:w="1123"/>
        <w:gridCol w:w="400"/>
        <w:gridCol w:w="1471"/>
        <w:gridCol w:w="1510"/>
        <w:gridCol w:w="1123"/>
        <w:gridCol w:w="400"/>
        <w:gridCol w:w="1471"/>
        <w:gridCol w:w="1510"/>
        <w:gridCol w:w="1123"/>
      </w:tblGrid>
      <w:tr w:rsidR="00804B37" w:rsidRPr="007A16CA" w:rsidTr="002A3204">
        <w:trPr>
          <w:trHeight w:val="315"/>
        </w:trPr>
        <w:tc>
          <w:tcPr>
            <w:tcW w:w="4104" w:type="dxa"/>
            <w:gridSpan w:val="3"/>
            <w:tcBorders>
              <w:top w:val="nil"/>
              <w:left w:val="nil"/>
              <w:bottom w:val="nil"/>
              <w:right w:val="nil"/>
            </w:tcBorders>
            <w:shd w:val="clear" w:color="auto" w:fill="auto"/>
            <w:noWrap/>
            <w:vAlign w:val="bottom"/>
            <w:hideMark/>
          </w:tcPr>
          <w:p w:rsidR="00804B37" w:rsidRPr="007A16CA" w:rsidRDefault="00804B37" w:rsidP="002A3204">
            <w:pPr>
              <w:rPr>
                <w:rFonts w:eastAsia="Times New Roman"/>
                <w:b/>
                <w:bCs/>
                <w:color w:val="000000"/>
                <w:sz w:val="22"/>
                <w:szCs w:val="22"/>
                <w:lang w:eastAsia="en-GB"/>
              </w:rPr>
            </w:pPr>
            <w:r w:rsidRPr="007A16CA">
              <w:rPr>
                <w:rFonts w:eastAsia="Times New Roman"/>
                <w:b/>
                <w:bCs/>
                <w:color w:val="000000"/>
                <w:sz w:val="22"/>
                <w:szCs w:val="22"/>
                <w:lang w:eastAsia="en-GB"/>
              </w:rPr>
              <w:t>As at March 2016</w:t>
            </w:r>
          </w:p>
        </w:tc>
        <w:tc>
          <w:tcPr>
            <w:tcW w:w="400" w:type="dxa"/>
            <w:tcBorders>
              <w:top w:val="nil"/>
              <w:left w:val="nil"/>
              <w:bottom w:val="nil"/>
              <w:right w:val="nil"/>
            </w:tcBorders>
            <w:shd w:val="clear" w:color="auto" w:fill="auto"/>
            <w:noWrap/>
            <w:vAlign w:val="bottom"/>
            <w:hideMark/>
          </w:tcPr>
          <w:p w:rsidR="00804B37" w:rsidRPr="007A16CA" w:rsidRDefault="00804B37" w:rsidP="002A3204">
            <w:pPr>
              <w:rPr>
                <w:rFonts w:eastAsia="Times New Roman"/>
                <w:b/>
                <w:color w:val="000000"/>
                <w:sz w:val="22"/>
                <w:szCs w:val="22"/>
                <w:lang w:eastAsia="en-GB"/>
              </w:rPr>
            </w:pPr>
          </w:p>
        </w:tc>
        <w:tc>
          <w:tcPr>
            <w:tcW w:w="4104" w:type="dxa"/>
            <w:gridSpan w:val="3"/>
            <w:tcBorders>
              <w:top w:val="nil"/>
              <w:left w:val="nil"/>
              <w:bottom w:val="nil"/>
              <w:right w:val="nil"/>
            </w:tcBorders>
            <w:shd w:val="clear" w:color="auto" w:fill="auto"/>
            <w:noWrap/>
            <w:vAlign w:val="bottom"/>
            <w:hideMark/>
          </w:tcPr>
          <w:p w:rsidR="00804B37" w:rsidRPr="007A16CA" w:rsidRDefault="00804B37" w:rsidP="002A3204">
            <w:pPr>
              <w:rPr>
                <w:rFonts w:eastAsia="Times New Roman"/>
                <w:b/>
                <w:bCs/>
                <w:color w:val="000000"/>
                <w:sz w:val="22"/>
                <w:szCs w:val="22"/>
                <w:lang w:eastAsia="en-GB"/>
              </w:rPr>
            </w:pPr>
            <w:r w:rsidRPr="007A16CA">
              <w:rPr>
                <w:rFonts w:eastAsia="Times New Roman"/>
                <w:b/>
                <w:bCs/>
                <w:color w:val="000000"/>
                <w:sz w:val="22"/>
                <w:szCs w:val="22"/>
                <w:lang w:eastAsia="en-GB"/>
              </w:rPr>
              <w:t>As at 31 March 2017</w:t>
            </w:r>
          </w:p>
        </w:tc>
        <w:tc>
          <w:tcPr>
            <w:tcW w:w="400" w:type="dxa"/>
            <w:tcBorders>
              <w:top w:val="nil"/>
              <w:left w:val="nil"/>
              <w:bottom w:val="nil"/>
              <w:right w:val="nil"/>
            </w:tcBorders>
            <w:shd w:val="clear" w:color="auto" w:fill="auto"/>
            <w:noWrap/>
            <w:vAlign w:val="bottom"/>
            <w:hideMark/>
          </w:tcPr>
          <w:p w:rsidR="00804B37" w:rsidRPr="007A16CA" w:rsidRDefault="00804B37" w:rsidP="002A3204">
            <w:pPr>
              <w:rPr>
                <w:rFonts w:eastAsia="Times New Roman"/>
                <w:b/>
                <w:color w:val="000000"/>
                <w:sz w:val="22"/>
                <w:szCs w:val="22"/>
                <w:lang w:eastAsia="en-GB"/>
              </w:rPr>
            </w:pPr>
          </w:p>
        </w:tc>
        <w:tc>
          <w:tcPr>
            <w:tcW w:w="4104" w:type="dxa"/>
            <w:gridSpan w:val="3"/>
            <w:tcBorders>
              <w:top w:val="nil"/>
              <w:left w:val="nil"/>
              <w:bottom w:val="nil"/>
              <w:right w:val="nil"/>
            </w:tcBorders>
            <w:shd w:val="clear" w:color="auto" w:fill="auto"/>
            <w:noWrap/>
            <w:vAlign w:val="bottom"/>
            <w:hideMark/>
          </w:tcPr>
          <w:p w:rsidR="00804B37" w:rsidRPr="007A16CA" w:rsidRDefault="00804B37" w:rsidP="002A3204">
            <w:pPr>
              <w:rPr>
                <w:rFonts w:eastAsia="Times New Roman"/>
                <w:b/>
                <w:bCs/>
                <w:color w:val="000000"/>
                <w:sz w:val="22"/>
                <w:szCs w:val="22"/>
                <w:lang w:eastAsia="en-GB"/>
              </w:rPr>
            </w:pPr>
            <w:r w:rsidRPr="007A16CA">
              <w:rPr>
                <w:rFonts w:eastAsia="Times New Roman"/>
                <w:b/>
                <w:bCs/>
                <w:color w:val="000000"/>
                <w:sz w:val="22"/>
                <w:szCs w:val="22"/>
                <w:lang w:eastAsia="en-GB"/>
              </w:rPr>
              <w:t>As at 31 March 2018</w:t>
            </w:r>
          </w:p>
        </w:tc>
      </w:tr>
      <w:tr w:rsidR="00804B37" w:rsidRPr="00A21AA8" w:rsidTr="002A3204">
        <w:trPr>
          <w:trHeight w:val="315"/>
        </w:trPr>
        <w:tc>
          <w:tcPr>
            <w:tcW w:w="1471" w:type="dxa"/>
            <w:tcBorders>
              <w:top w:val="nil"/>
              <w:left w:val="nil"/>
              <w:bottom w:val="nil"/>
              <w:right w:val="nil"/>
            </w:tcBorders>
            <w:shd w:val="clear" w:color="auto" w:fill="auto"/>
            <w:noWrap/>
            <w:vAlign w:val="bottom"/>
            <w:hideMark/>
          </w:tcPr>
          <w:p w:rsidR="00804B37" w:rsidRPr="00A21AA8" w:rsidRDefault="00804B37" w:rsidP="002A3204">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804B37" w:rsidRPr="00A21AA8" w:rsidRDefault="00804B37" w:rsidP="002A3204">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804B37" w:rsidRPr="00A21AA8" w:rsidRDefault="00804B37" w:rsidP="002A3204">
            <w:pPr>
              <w:jc w:val="center"/>
              <w:rPr>
                <w:rFonts w:eastAsia="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804B37" w:rsidRPr="00A21AA8" w:rsidRDefault="00804B37" w:rsidP="002A3204">
            <w:pPr>
              <w:rPr>
                <w:rFonts w:eastAsia="Times New Roman"/>
                <w:color w:val="000000"/>
                <w:sz w:val="22"/>
                <w:szCs w:val="22"/>
                <w:lang w:eastAsia="en-GB"/>
              </w:rPr>
            </w:pPr>
          </w:p>
        </w:tc>
        <w:tc>
          <w:tcPr>
            <w:tcW w:w="1471" w:type="dxa"/>
            <w:tcBorders>
              <w:top w:val="nil"/>
              <w:left w:val="nil"/>
              <w:bottom w:val="nil"/>
              <w:right w:val="nil"/>
            </w:tcBorders>
            <w:shd w:val="clear" w:color="auto" w:fill="auto"/>
            <w:noWrap/>
            <w:vAlign w:val="bottom"/>
            <w:hideMark/>
          </w:tcPr>
          <w:p w:rsidR="00804B37" w:rsidRPr="00A21AA8" w:rsidRDefault="00804B37" w:rsidP="002A3204">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804B37" w:rsidRPr="00A21AA8" w:rsidRDefault="00804B37" w:rsidP="002A3204">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804B37" w:rsidRPr="00A21AA8" w:rsidRDefault="00804B37" w:rsidP="002A3204">
            <w:pPr>
              <w:jc w:val="center"/>
              <w:rPr>
                <w:rFonts w:eastAsia="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804B37" w:rsidRPr="00A21AA8" w:rsidRDefault="00804B37" w:rsidP="002A3204">
            <w:pPr>
              <w:rPr>
                <w:rFonts w:eastAsia="Times New Roman"/>
                <w:color w:val="000000"/>
                <w:sz w:val="22"/>
                <w:szCs w:val="22"/>
                <w:lang w:eastAsia="en-GB"/>
              </w:rPr>
            </w:pPr>
          </w:p>
        </w:tc>
        <w:tc>
          <w:tcPr>
            <w:tcW w:w="1471" w:type="dxa"/>
            <w:tcBorders>
              <w:top w:val="nil"/>
              <w:left w:val="nil"/>
              <w:bottom w:val="nil"/>
              <w:right w:val="nil"/>
            </w:tcBorders>
            <w:shd w:val="clear" w:color="auto" w:fill="auto"/>
            <w:noWrap/>
            <w:vAlign w:val="bottom"/>
            <w:hideMark/>
          </w:tcPr>
          <w:p w:rsidR="00804B37" w:rsidRPr="00A21AA8" w:rsidRDefault="00804B37" w:rsidP="002A3204">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804B37" w:rsidRPr="00A21AA8" w:rsidRDefault="00804B37" w:rsidP="002A3204">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804B37" w:rsidRPr="00A21AA8" w:rsidRDefault="00804B37" w:rsidP="002A3204">
            <w:pPr>
              <w:jc w:val="center"/>
              <w:rPr>
                <w:rFonts w:eastAsia="Times New Roman"/>
                <w:color w:val="000000"/>
                <w:sz w:val="22"/>
                <w:szCs w:val="22"/>
                <w:lang w:eastAsia="en-GB"/>
              </w:rPr>
            </w:pPr>
          </w:p>
        </w:tc>
      </w:tr>
      <w:tr w:rsidR="002D3FDF" w:rsidRPr="00A21AA8" w:rsidTr="002A3204">
        <w:trPr>
          <w:trHeight w:val="315"/>
        </w:trPr>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D3FDF" w:rsidRPr="00BB10D7" w:rsidRDefault="002D3FDF" w:rsidP="002A3204">
            <w:pPr>
              <w:rPr>
                <w:rFonts w:eastAsia="Times New Roman"/>
                <w:b/>
                <w:bCs/>
                <w:color w:val="000000"/>
                <w:sz w:val="20"/>
                <w:szCs w:val="22"/>
                <w:lang w:eastAsia="en-GB"/>
              </w:rPr>
            </w:pPr>
            <w:r w:rsidRPr="00BB10D7">
              <w:rPr>
                <w:rFonts w:eastAsia="Times New Roman"/>
                <w:b/>
                <w:bCs/>
                <w:color w:val="000000"/>
                <w:sz w:val="20"/>
                <w:szCs w:val="22"/>
                <w:lang w:eastAsia="en-GB"/>
              </w:rPr>
              <w:t>Age Bands</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2D3FDF" w:rsidRPr="00BB10D7" w:rsidRDefault="002D3FDF"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2D3FDF" w:rsidRPr="00BB10D7" w:rsidRDefault="002D3FDF"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Number</w:t>
            </w:r>
          </w:p>
        </w:tc>
        <w:tc>
          <w:tcPr>
            <w:tcW w:w="400" w:type="dxa"/>
            <w:tcBorders>
              <w:top w:val="nil"/>
              <w:left w:val="nil"/>
              <w:bottom w:val="nil"/>
              <w:right w:val="nil"/>
            </w:tcBorders>
            <w:shd w:val="clear" w:color="auto" w:fill="auto"/>
            <w:noWrap/>
            <w:vAlign w:val="bottom"/>
            <w:hideMark/>
          </w:tcPr>
          <w:p w:rsidR="002D3FDF" w:rsidRPr="00BB10D7" w:rsidRDefault="002D3FDF" w:rsidP="002A3204">
            <w:pPr>
              <w:rPr>
                <w:rFonts w:eastAsia="Times New Roman"/>
                <w:color w:val="000000"/>
                <w:sz w:val="20"/>
                <w:szCs w:val="22"/>
                <w:lang w:eastAsia="en-GB"/>
              </w:rPr>
            </w:pPr>
          </w:p>
        </w:tc>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D3FDF" w:rsidRPr="00BB10D7" w:rsidRDefault="002D3FDF" w:rsidP="002A3204">
            <w:pPr>
              <w:rPr>
                <w:rFonts w:eastAsia="Times New Roman"/>
                <w:b/>
                <w:bCs/>
                <w:color w:val="000000"/>
                <w:sz w:val="20"/>
                <w:szCs w:val="22"/>
                <w:lang w:eastAsia="en-GB"/>
              </w:rPr>
            </w:pPr>
            <w:r w:rsidRPr="00BB10D7">
              <w:rPr>
                <w:rFonts w:eastAsia="Times New Roman"/>
                <w:b/>
                <w:bCs/>
                <w:color w:val="000000"/>
                <w:sz w:val="20"/>
                <w:szCs w:val="22"/>
                <w:lang w:eastAsia="en-GB"/>
              </w:rPr>
              <w:t>Age Bands</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2D3FDF" w:rsidRPr="00BB10D7" w:rsidRDefault="002D3FDF"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2D3FDF" w:rsidRPr="00BB10D7" w:rsidRDefault="002D3FDF"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Number</w:t>
            </w:r>
          </w:p>
        </w:tc>
        <w:tc>
          <w:tcPr>
            <w:tcW w:w="400" w:type="dxa"/>
            <w:tcBorders>
              <w:top w:val="nil"/>
              <w:left w:val="nil"/>
              <w:bottom w:val="nil"/>
              <w:right w:val="nil"/>
            </w:tcBorders>
            <w:shd w:val="clear" w:color="auto" w:fill="auto"/>
            <w:noWrap/>
            <w:vAlign w:val="bottom"/>
            <w:hideMark/>
          </w:tcPr>
          <w:p w:rsidR="002D3FDF" w:rsidRPr="00BB10D7" w:rsidRDefault="002D3FDF" w:rsidP="002A3204">
            <w:pPr>
              <w:rPr>
                <w:rFonts w:eastAsia="Times New Roman"/>
                <w:color w:val="000000"/>
                <w:sz w:val="20"/>
                <w:szCs w:val="22"/>
                <w:lang w:eastAsia="en-GB"/>
              </w:rPr>
            </w:pPr>
          </w:p>
        </w:tc>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D3FDF" w:rsidRPr="00BB10D7" w:rsidRDefault="002D3FDF" w:rsidP="002A3204">
            <w:pPr>
              <w:rPr>
                <w:rFonts w:eastAsia="Times New Roman"/>
                <w:b/>
                <w:bCs/>
                <w:color w:val="000000"/>
                <w:sz w:val="20"/>
                <w:szCs w:val="22"/>
                <w:lang w:eastAsia="en-GB"/>
              </w:rPr>
            </w:pPr>
            <w:r w:rsidRPr="00BB10D7">
              <w:rPr>
                <w:rFonts w:eastAsia="Times New Roman"/>
                <w:b/>
                <w:bCs/>
                <w:color w:val="000000"/>
                <w:sz w:val="20"/>
                <w:szCs w:val="22"/>
                <w:lang w:eastAsia="en-GB"/>
              </w:rPr>
              <w:t>Age Bands</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2D3FDF" w:rsidRPr="00BB10D7" w:rsidRDefault="002D3FDF"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2D3FDF" w:rsidRPr="00BB10D7" w:rsidRDefault="002D3FDF"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Number</w:t>
            </w:r>
          </w:p>
        </w:tc>
      </w:tr>
      <w:tr w:rsidR="00573994" w:rsidRPr="00A21AA8" w:rsidTr="00573994">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21-30</w:t>
            </w:r>
          </w:p>
        </w:tc>
        <w:tc>
          <w:tcPr>
            <w:tcW w:w="1510"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15.39</w:t>
            </w:r>
          </w:p>
        </w:tc>
        <w:tc>
          <w:tcPr>
            <w:tcW w:w="1123"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193</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21-30</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15.32</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201</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21-30</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15.58</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207</w:t>
            </w:r>
          </w:p>
        </w:tc>
      </w:tr>
      <w:tr w:rsidR="00573994" w:rsidRPr="00A21AA8" w:rsidTr="00573994">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31-40</w:t>
            </w:r>
          </w:p>
        </w:tc>
        <w:tc>
          <w:tcPr>
            <w:tcW w:w="1510"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21.45</w:t>
            </w:r>
          </w:p>
        </w:tc>
        <w:tc>
          <w:tcPr>
            <w:tcW w:w="1123"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269</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31-40</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21.49</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282</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31-40</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21.60</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287</w:t>
            </w:r>
          </w:p>
        </w:tc>
      </w:tr>
      <w:tr w:rsidR="00573994" w:rsidRPr="00A21AA8" w:rsidTr="00573994">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41-50</w:t>
            </w:r>
          </w:p>
        </w:tc>
        <w:tc>
          <w:tcPr>
            <w:tcW w:w="1510"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28.31</w:t>
            </w:r>
          </w:p>
        </w:tc>
        <w:tc>
          <w:tcPr>
            <w:tcW w:w="1123"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355</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41-50</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26.91</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353</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41-50</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24.68</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328</w:t>
            </w:r>
          </w:p>
        </w:tc>
      </w:tr>
      <w:tr w:rsidR="00573994" w:rsidRPr="00A21AA8" w:rsidTr="00573994">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51-60</w:t>
            </w:r>
          </w:p>
        </w:tc>
        <w:tc>
          <w:tcPr>
            <w:tcW w:w="1510"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27.59</w:t>
            </w:r>
          </w:p>
        </w:tc>
        <w:tc>
          <w:tcPr>
            <w:tcW w:w="1123"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346</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51-60</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28.73</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377</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51-60</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29.87</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397</w:t>
            </w:r>
          </w:p>
        </w:tc>
      </w:tr>
      <w:tr w:rsidR="00573994" w:rsidRPr="00A21AA8" w:rsidTr="00573994">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61-65</w:t>
            </w:r>
          </w:p>
        </w:tc>
        <w:tc>
          <w:tcPr>
            <w:tcW w:w="1510"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4.31</w:t>
            </w:r>
          </w:p>
        </w:tc>
        <w:tc>
          <w:tcPr>
            <w:tcW w:w="1123"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54</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61-65</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4.34</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57</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61-65</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5.34</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71</w:t>
            </w:r>
          </w:p>
        </w:tc>
      </w:tr>
      <w:tr w:rsidR="00573994" w:rsidRPr="00A21AA8" w:rsidTr="00573994">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Over 65</w:t>
            </w:r>
          </w:p>
        </w:tc>
        <w:tc>
          <w:tcPr>
            <w:tcW w:w="1510"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1.36</w:t>
            </w:r>
          </w:p>
        </w:tc>
        <w:tc>
          <w:tcPr>
            <w:tcW w:w="1123"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17</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Over 65</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1.07</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14</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Over 65</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0.90</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12</w:t>
            </w:r>
          </w:p>
        </w:tc>
      </w:tr>
      <w:tr w:rsidR="00573994" w:rsidRPr="00A21AA8" w:rsidTr="00573994">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Under 21</w:t>
            </w:r>
          </w:p>
        </w:tc>
        <w:tc>
          <w:tcPr>
            <w:tcW w:w="1510"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1.59</w:t>
            </w:r>
          </w:p>
        </w:tc>
        <w:tc>
          <w:tcPr>
            <w:tcW w:w="1123" w:type="dxa"/>
            <w:tcBorders>
              <w:top w:val="nil"/>
              <w:left w:val="nil"/>
              <w:bottom w:val="single" w:sz="8" w:space="0" w:color="auto"/>
              <w:right w:val="single" w:sz="8" w:space="0" w:color="auto"/>
            </w:tcBorders>
            <w:shd w:val="clear" w:color="auto" w:fill="auto"/>
            <w:noWrap/>
            <w:vAlign w:val="center"/>
          </w:tcPr>
          <w:p w:rsidR="00573994" w:rsidRPr="00BB10D7" w:rsidRDefault="00573994" w:rsidP="002A3204">
            <w:pPr>
              <w:jc w:val="center"/>
              <w:rPr>
                <w:rFonts w:eastAsia="Times New Roman"/>
                <w:color w:val="000000"/>
                <w:sz w:val="20"/>
                <w:szCs w:val="22"/>
                <w:lang w:eastAsia="en-GB"/>
              </w:rPr>
            </w:pPr>
            <w:r w:rsidRPr="00BB10D7">
              <w:rPr>
                <w:rFonts w:eastAsia="Times New Roman"/>
                <w:color w:val="000000"/>
                <w:sz w:val="20"/>
                <w:szCs w:val="22"/>
                <w:lang w:eastAsia="en-GB"/>
              </w:rPr>
              <w:t>20</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Under 21</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2.13</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sz w:val="20"/>
                <w:szCs w:val="20"/>
              </w:rPr>
            </w:pPr>
            <w:r>
              <w:rPr>
                <w:sz w:val="20"/>
                <w:szCs w:val="20"/>
              </w:rPr>
              <w:t>28</w:t>
            </w:r>
          </w:p>
        </w:tc>
        <w:tc>
          <w:tcPr>
            <w:tcW w:w="400" w:type="dxa"/>
            <w:tcBorders>
              <w:top w:val="nil"/>
              <w:left w:val="nil"/>
              <w:bottom w:val="nil"/>
              <w:right w:val="nil"/>
            </w:tcBorders>
            <w:shd w:val="clear" w:color="auto" w:fill="auto"/>
            <w:noWrap/>
            <w:vAlign w:val="bottom"/>
          </w:tcPr>
          <w:p w:rsidR="00573994" w:rsidRPr="00BB10D7" w:rsidRDefault="00573994"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573994" w:rsidRPr="00BB10D7" w:rsidRDefault="00573994" w:rsidP="002A3204">
            <w:pPr>
              <w:rPr>
                <w:rFonts w:eastAsia="Times New Roman"/>
                <w:color w:val="000000"/>
                <w:sz w:val="20"/>
                <w:szCs w:val="22"/>
                <w:lang w:eastAsia="en-GB"/>
              </w:rPr>
            </w:pPr>
            <w:r w:rsidRPr="00BB10D7">
              <w:rPr>
                <w:rFonts w:eastAsia="Times New Roman"/>
                <w:color w:val="000000"/>
                <w:sz w:val="20"/>
                <w:szCs w:val="22"/>
                <w:lang w:eastAsia="en-GB"/>
              </w:rPr>
              <w:t>Under 21</w:t>
            </w:r>
          </w:p>
        </w:tc>
        <w:tc>
          <w:tcPr>
            <w:tcW w:w="1510"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2.03</w:t>
            </w:r>
          </w:p>
        </w:tc>
        <w:tc>
          <w:tcPr>
            <w:tcW w:w="1123" w:type="dxa"/>
            <w:tcBorders>
              <w:top w:val="nil"/>
              <w:left w:val="nil"/>
              <w:bottom w:val="single" w:sz="8" w:space="0" w:color="auto"/>
              <w:right w:val="single" w:sz="8" w:space="0" w:color="auto"/>
            </w:tcBorders>
            <w:shd w:val="clear" w:color="auto" w:fill="auto"/>
            <w:noWrap/>
            <w:vAlign w:val="center"/>
          </w:tcPr>
          <w:p w:rsidR="00573994" w:rsidRDefault="00573994" w:rsidP="00573994">
            <w:pPr>
              <w:jc w:val="center"/>
              <w:rPr>
                <w:color w:val="000000"/>
                <w:sz w:val="20"/>
                <w:szCs w:val="20"/>
              </w:rPr>
            </w:pPr>
            <w:r>
              <w:rPr>
                <w:color w:val="000000"/>
                <w:sz w:val="20"/>
                <w:szCs w:val="20"/>
              </w:rPr>
              <w:t>27</w:t>
            </w:r>
          </w:p>
        </w:tc>
      </w:tr>
      <w:tr w:rsidR="00804B37" w:rsidRPr="00A21AA8" w:rsidTr="002A3204">
        <w:trPr>
          <w:trHeight w:val="315"/>
        </w:trPr>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804B37" w:rsidRPr="00BB10D7" w:rsidRDefault="00804B37" w:rsidP="002A3204">
            <w:pPr>
              <w:rPr>
                <w:rFonts w:eastAsia="Times New Roman"/>
                <w:b/>
                <w:bCs/>
                <w:color w:val="000000"/>
                <w:sz w:val="20"/>
                <w:szCs w:val="22"/>
                <w:lang w:eastAsia="en-GB"/>
              </w:rPr>
            </w:pPr>
            <w:r w:rsidRPr="00BB10D7">
              <w:rPr>
                <w:rFonts w:eastAsia="Times New Roman"/>
                <w:b/>
                <w:bCs/>
                <w:color w:val="000000"/>
                <w:sz w:val="20"/>
                <w:szCs w:val="22"/>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804B37" w:rsidRPr="00BB10D7" w:rsidRDefault="00804B37" w:rsidP="00BB10D7">
            <w:pPr>
              <w:jc w:val="center"/>
              <w:rPr>
                <w:rFonts w:eastAsia="Times New Roman"/>
                <w:b/>
                <w:bCs/>
                <w:color w:val="000000"/>
                <w:sz w:val="20"/>
                <w:szCs w:val="22"/>
                <w:lang w:eastAsia="en-GB"/>
              </w:rPr>
            </w:pPr>
            <w:r w:rsidRPr="00BB10D7">
              <w:rPr>
                <w:rFonts w:eastAsia="Times New Roman"/>
                <w:b/>
                <w:bCs/>
                <w:color w:val="000000"/>
                <w:sz w:val="20"/>
                <w:szCs w:val="22"/>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804B37" w:rsidRPr="00BB10D7" w:rsidRDefault="00804B37" w:rsidP="002A3204">
            <w:pPr>
              <w:jc w:val="center"/>
              <w:rPr>
                <w:rFonts w:eastAsia="Times New Roman"/>
                <w:b/>
                <w:bCs/>
                <w:color w:val="000000"/>
                <w:sz w:val="20"/>
                <w:szCs w:val="22"/>
                <w:lang w:eastAsia="en-GB"/>
              </w:rPr>
            </w:pPr>
            <w:r w:rsidRPr="00BB10D7">
              <w:rPr>
                <w:rFonts w:eastAsia="Times New Roman"/>
                <w:b/>
                <w:bCs/>
                <w:color w:val="000000"/>
                <w:sz w:val="20"/>
                <w:szCs w:val="22"/>
                <w:lang w:eastAsia="en-GB"/>
              </w:rPr>
              <w:t>1254</w:t>
            </w:r>
          </w:p>
        </w:tc>
        <w:tc>
          <w:tcPr>
            <w:tcW w:w="400" w:type="dxa"/>
            <w:tcBorders>
              <w:top w:val="nil"/>
              <w:left w:val="nil"/>
              <w:bottom w:val="nil"/>
              <w:right w:val="nil"/>
            </w:tcBorders>
            <w:shd w:val="clear" w:color="auto" w:fill="auto"/>
            <w:noWrap/>
            <w:vAlign w:val="bottom"/>
            <w:hideMark/>
          </w:tcPr>
          <w:p w:rsidR="00804B37" w:rsidRPr="00BB10D7" w:rsidRDefault="00804B37"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804B37" w:rsidRPr="00BB10D7" w:rsidRDefault="00804B37" w:rsidP="002A3204">
            <w:pPr>
              <w:rPr>
                <w:rFonts w:eastAsia="Times New Roman"/>
                <w:b/>
                <w:bCs/>
                <w:color w:val="000000"/>
                <w:sz w:val="20"/>
                <w:szCs w:val="22"/>
                <w:lang w:eastAsia="en-GB"/>
              </w:rPr>
            </w:pPr>
            <w:r w:rsidRPr="00BB10D7">
              <w:rPr>
                <w:rFonts w:eastAsia="Times New Roman"/>
                <w:b/>
                <w:bCs/>
                <w:color w:val="000000"/>
                <w:sz w:val="20"/>
                <w:szCs w:val="22"/>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804B37" w:rsidRPr="00BB10D7" w:rsidRDefault="00804B37" w:rsidP="00BB10D7">
            <w:pPr>
              <w:jc w:val="center"/>
              <w:rPr>
                <w:rFonts w:eastAsia="Times New Roman"/>
                <w:b/>
                <w:bCs/>
                <w:color w:val="000000"/>
                <w:sz w:val="20"/>
                <w:szCs w:val="22"/>
                <w:lang w:eastAsia="en-GB"/>
              </w:rPr>
            </w:pPr>
            <w:r w:rsidRPr="00BB10D7">
              <w:rPr>
                <w:rFonts w:eastAsia="Times New Roman"/>
                <w:b/>
                <w:bCs/>
                <w:color w:val="000000"/>
                <w:sz w:val="20"/>
                <w:szCs w:val="22"/>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804B37" w:rsidRPr="00BB10D7" w:rsidRDefault="00804B37" w:rsidP="009C0BC7">
            <w:pPr>
              <w:jc w:val="center"/>
              <w:rPr>
                <w:rFonts w:eastAsia="Times New Roman"/>
                <w:b/>
                <w:bCs/>
                <w:color w:val="000000"/>
                <w:sz w:val="20"/>
                <w:szCs w:val="22"/>
                <w:lang w:eastAsia="en-GB"/>
              </w:rPr>
            </w:pPr>
            <w:r w:rsidRPr="00BB10D7">
              <w:rPr>
                <w:rFonts w:eastAsia="Times New Roman"/>
                <w:b/>
                <w:bCs/>
                <w:color w:val="000000"/>
                <w:sz w:val="20"/>
                <w:szCs w:val="22"/>
                <w:lang w:eastAsia="en-GB"/>
              </w:rPr>
              <w:t>13</w:t>
            </w:r>
            <w:r w:rsidR="009C0BC7">
              <w:rPr>
                <w:rFonts w:eastAsia="Times New Roman"/>
                <w:b/>
                <w:bCs/>
                <w:color w:val="000000"/>
                <w:sz w:val="20"/>
                <w:szCs w:val="22"/>
                <w:lang w:eastAsia="en-GB"/>
              </w:rPr>
              <w:t>12</w:t>
            </w:r>
          </w:p>
        </w:tc>
        <w:tc>
          <w:tcPr>
            <w:tcW w:w="400" w:type="dxa"/>
            <w:tcBorders>
              <w:top w:val="nil"/>
              <w:left w:val="nil"/>
              <w:bottom w:val="nil"/>
              <w:right w:val="nil"/>
            </w:tcBorders>
            <w:shd w:val="clear" w:color="auto" w:fill="auto"/>
            <w:noWrap/>
            <w:vAlign w:val="bottom"/>
            <w:hideMark/>
          </w:tcPr>
          <w:p w:rsidR="00804B37" w:rsidRPr="00BB10D7" w:rsidRDefault="00804B37" w:rsidP="002A3204">
            <w:pPr>
              <w:rPr>
                <w:rFonts w:eastAsia="Times New Roman"/>
                <w:color w:val="000000"/>
                <w:sz w:val="20"/>
                <w:szCs w:val="22"/>
                <w:lang w:eastAsia="en-GB"/>
              </w:rPr>
            </w:pPr>
          </w:p>
        </w:tc>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804B37" w:rsidRPr="00BB10D7" w:rsidRDefault="00804B37" w:rsidP="002A3204">
            <w:pPr>
              <w:rPr>
                <w:rFonts w:eastAsia="Times New Roman"/>
                <w:b/>
                <w:bCs/>
                <w:color w:val="000000"/>
                <w:sz w:val="20"/>
                <w:szCs w:val="22"/>
                <w:lang w:eastAsia="en-GB"/>
              </w:rPr>
            </w:pPr>
            <w:r w:rsidRPr="00BB10D7">
              <w:rPr>
                <w:rFonts w:eastAsia="Times New Roman"/>
                <w:b/>
                <w:bCs/>
                <w:color w:val="000000"/>
                <w:sz w:val="20"/>
                <w:szCs w:val="22"/>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804B37" w:rsidRPr="00BB10D7" w:rsidRDefault="00804B37" w:rsidP="00BB10D7">
            <w:pPr>
              <w:jc w:val="center"/>
              <w:rPr>
                <w:rFonts w:eastAsia="Times New Roman"/>
                <w:b/>
                <w:bCs/>
                <w:color w:val="000000"/>
                <w:sz w:val="20"/>
                <w:szCs w:val="22"/>
                <w:lang w:eastAsia="en-GB"/>
              </w:rPr>
            </w:pPr>
            <w:r w:rsidRPr="00BB10D7">
              <w:rPr>
                <w:rFonts w:eastAsia="Times New Roman"/>
                <w:b/>
                <w:bCs/>
                <w:color w:val="000000"/>
                <w:sz w:val="20"/>
                <w:szCs w:val="22"/>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804B37" w:rsidRPr="00BB10D7" w:rsidRDefault="00573994" w:rsidP="002A3204">
            <w:pPr>
              <w:jc w:val="center"/>
              <w:rPr>
                <w:rFonts w:eastAsia="Times New Roman"/>
                <w:b/>
                <w:bCs/>
                <w:color w:val="000000"/>
                <w:sz w:val="20"/>
                <w:szCs w:val="22"/>
                <w:lang w:eastAsia="en-GB"/>
              </w:rPr>
            </w:pPr>
            <w:r>
              <w:rPr>
                <w:rFonts w:eastAsia="Times New Roman"/>
                <w:b/>
                <w:bCs/>
                <w:color w:val="000000"/>
                <w:sz w:val="20"/>
                <w:szCs w:val="22"/>
                <w:lang w:eastAsia="en-GB"/>
              </w:rPr>
              <w:t>1329</w:t>
            </w:r>
          </w:p>
        </w:tc>
      </w:tr>
    </w:tbl>
    <w:p w:rsidR="00804B37" w:rsidRDefault="00804B37" w:rsidP="008A22C6">
      <w:pPr>
        <w:rPr>
          <w:sz w:val="22"/>
          <w:szCs w:val="22"/>
        </w:rPr>
      </w:pPr>
    </w:p>
    <w:p w:rsidR="00804B37" w:rsidRPr="000540D8" w:rsidRDefault="00677071" w:rsidP="008A22C6">
      <w:pPr>
        <w:rPr>
          <w:sz w:val="22"/>
          <w:szCs w:val="22"/>
        </w:rPr>
      </w:pPr>
      <w:r w:rsidRPr="000540D8">
        <w:rPr>
          <w:b/>
          <w:szCs w:val="22"/>
        </w:rPr>
        <w:t xml:space="preserve">Commentary: </w:t>
      </w:r>
      <w:r w:rsidRPr="002E1471">
        <w:rPr>
          <w:szCs w:val="22"/>
        </w:rPr>
        <w:t xml:space="preserve">The proportion of staff </w:t>
      </w:r>
      <w:r w:rsidR="004F77E3">
        <w:rPr>
          <w:szCs w:val="22"/>
        </w:rPr>
        <w:t xml:space="preserve">under </w:t>
      </w:r>
      <w:r w:rsidRPr="002E1471">
        <w:rPr>
          <w:szCs w:val="22"/>
        </w:rPr>
        <w:t xml:space="preserve">30 </w:t>
      </w:r>
      <w:r w:rsidR="004F77E3">
        <w:rPr>
          <w:szCs w:val="22"/>
        </w:rPr>
        <w:t xml:space="preserve">years of age </w:t>
      </w:r>
      <w:r w:rsidRPr="002E1471">
        <w:rPr>
          <w:szCs w:val="22"/>
        </w:rPr>
        <w:t>is now almost 20% of the workforce</w:t>
      </w:r>
      <w:r w:rsidRPr="000540D8">
        <w:rPr>
          <w:szCs w:val="22"/>
        </w:rPr>
        <w:t xml:space="preserve">. Whilst the proportion of staff aged between 51 and 65 has stabilised at </w:t>
      </w:r>
      <w:r w:rsidR="002B559E">
        <w:rPr>
          <w:szCs w:val="22"/>
        </w:rPr>
        <w:t>around 33</w:t>
      </w:r>
      <w:r w:rsidRPr="000540D8">
        <w:rPr>
          <w:szCs w:val="22"/>
        </w:rPr>
        <w:t xml:space="preserve">%, the number of staff over age 65 has steadily declined since 2015/16. The recruitment to the next cohort of apprentices </w:t>
      </w:r>
      <w:r w:rsidRPr="00C664D2">
        <w:rPr>
          <w:szCs w:val="22"/>
        </w:rPr>
        <w:t>later this summer</w:t>
      </w:r>
      <w:r w:rsidRPr="000540D8">
        <w:rPr>
          <w:szCs w:val="22"/>
        </w:rPr>
        <w:t xml:space="preserve"> will increase the number of staff under age 21.</w:t>
      </w:r>
    </w:p>
    <w:p w:rsidR="00677071" w:rsidRDefault="00677071" w:rsidP="008A22C6">
      <w:pPr>
        <w:rPr>
          <w:sz w:val="22"/>
          <w:szCs w:val="22"/>
        </w:rPr>
      </w:pPr>
    </w:p>
    <w:p w:rsidR="00B33703" w:rsidRDefault="00B33703">
      <w:pPr>
        <w:rPr>
          <w:b/>
          <w:szCs w:val="22"/>
        </w:rPr>
      </w:pPr>
      <w:r>
        <w:rPr>
          <w:b/>
          <w:szCs w:val="22"/>
        </w:rPr>
        <w:br w:type="page"/>
      </w:r>
    </w:p>
    <w:p w:rsidR="00F57993" w:rsidRDefault="00F57993" w:rsidP="00F57993">
      <w:pPr>
        <w:rPr>
          <w:b/>
          <w:szCs w:val="22"/>
        </w:rPr>
      </w:pPr>
      <w:r>
        <w:rPr>
          <w:b/>
          <w:szCs w:val="22"/>
        </w:rPr>
        <w:lastRenderedPageBreak/>
        <w:t xml:space="preserve">OXFORD GENERAL POPULATION DATA: </w:t>
      </w:r>
      <w:r w:rsidR="00A81506">
        <w:rPr>
          <w:b/>
          <w:szCs w:val="22"/>
        </w:rPr>
        <w:t>DISABILITY</w:t>
      </w:r>
    </w:p>
    <w:p w:rsidR="00F57993" w:rsidRDefault="00F57993" w:rsidP="00F57993">
      <w:pPr>
        <w:rPr>
          <w:b/>
          <w:szCs w:val="22"/>
        </w:rPr>
      </w:pPr>
    </w:p>
    <w:p w:rsidR="00F57993" w:rsidRDefault="00F57993" w:rsidP="00F57993">
      <w:pPr>
        <w:rPr>
          <w:b/>
          <w:szCs w:val="22"/>
        </w:rPr>
      </w:pPr>
      <w:r>
        <w:rPr>
          <w:noProof/>
          <w:lang w:eastAsia="en-GB"/>
        </w:rPr>
        <w:drawing>
          <wp:inline distT="0" distB="0" distL="0" distR="0" wp14:anchorId="78976D84" wp14:editId="64516BB8">
            <wp:extent cx="7353300" cy="44577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7993" w:rsidRDefault="00F57993" w:rsidP="00F57993">
      <w:pPr>
        <w:rPr>
          <w:b/>
          <w:szCs w:val="22"/>
        </w:rPr>
      </w:pPr>
    </w:p>
    <w:p w:rsidR="00F57993" w:rsidRDefault="00F57993" w:rsidP="00F57993">
      <w:pPr>
        <w:rPr>
          <w:b/>
          <w:szCs w:val="22"/>
        </w:rPr>
      </w:pPr>
    </w:p>
    <w:p w:rsidR="00F57993" w:rsidRDefault="00F57993" w:rsidP="00F57993">
      <w:pPr>
        <w:rPr>
          <w:b/>
          <w:szCs w:val="22"/>
        </w:rPr>
      </w:pPr>
    </w:p>
    <w:p w:rsidR="00F57993" w:rsidRDefault="00F57993" w:rsidP="00F57993">
      <w:pPr>
        <w:rPr>
          <w:b/>
          <w:szCs w:val="22"/>
        </w:rPr>
      </w:pPr>
    </w:p>
    <w:p w:rsidR="00610B1A" w:rsidRDefault="00610B1A">
      <w:pPr>
        <w:rPr>
          <w:b/>
          <w:szCs w:val="22"/>
        </w:rPr>
      </w:pPr>
      <w:r>
        <w:rPr>
          <w:b/>
          <w:szCs w:val="22"/>
        </w:rPr>
        <w:br w:type="page"/>
      </w:r>
    </w:p>
    <w:p w:rsidR="00610B1A" w:rsidRDefault="00610B1A" w:rsidP="00610B1A">
      <w:pPr>
        <w:rPr>
          <w:b/>
          <w:szCs w:val="22"/>
        </w:rPr>
      </w:pPr>
      <w:r>
        <w:rPr>
          <w:b/>
          <w:szCs w:val="22"/>
        </w:rPr>
        <w:lastRenderedPageBreak/>
        <w:t>WORKFORCE PROFILE (DISABILITY)</w:t>
      </w:r>
    </w:p>
    <w:p w:rsidR="003D743E" w:rsidRDefault="003D743E" w:rsidP="008A22C6">
      <w:pPr>
        <w:rPr>
          <w:b/>
          <w:szCs w:val="22"/>
        </w:rPr>
      </w:pPr>
    </w:p>
    <w:tbl>
      <w:tblPr>
        <w:tblW w:w="13112" w:type="dxa"/>
        <w:tblInd w:w="93" w:type="dxa"/>
        <w:tblLook w:val="04A0" w:firstRow="1" w:lastRow="0" w:firstColumn="1" w:lastColumn="0" w:noHBand="0" w:noVBand="1"/>
      </w:tblPr>
      <w:tblGrid>
        <w:gridCol w:w="1471"/>
        <w:gridCol w:w="1510"/>
        <w:gridCol w:w="1123"/>
        <w:gridCol w:w="400"/>
        <w:gridCol w:w="1471"/>
        <w:gridCol w:w="1510"/>
        <w:gridCol w:w="1123"/>
        <w:gridCol w:w="400"/>
        <w:gridCol w:w="1471"/>
        <w:gridCol w:w="1510"/>
        <w:gridCol w:w="1123"/>
      </w:tblGrid>
      <w:tr w:rsidR="00677071" w:rsidRPr="00D27E5B" w:rsidTr="002A3204">
        <w:trPr>
          <w:trHeight w:val="315"/>
        </w:trPr>
        <w:tc>
          <w:tcPr>
            <w:tcW w:w="4104" w:type="dxa"/>
            <w:gridSpan w:val="3"/>
            <w:tcBorders>
              <w:top w:val="nil"/>
              <w:left w:val="nil"/>
              <w:bottom w:val="nil"/>
              <w:right w:val="nil"/>
            </w:tcBorders>
            <w:shd w:val="clear" w:color="auto" w:fill="auto"/>
            <w:noWrap/>
            <w:vAlign w:val="bottom"/>
            <w:hideMark/>
          </w:tcPr>
          <w:p w:rsidR="00677071" w:rsidRPr="00A21AA8" w:rsidRDefault="00677071" w:rsidP="002A3204">
            <w:pPr>
              <w:rPr>
                <w:rFonts w:eastAsia="Times New Roman"/>
                <w:b/>
                <w:bCs/>
                <w:color w:val="000000"/>
                <w:sz w:val="22"/>
                <w:szCs w:val="22"/>
                <w:lang w:eastAsia="en-GB"/>
              </w:rPr>
            </w:pPr>
            <w:r w:rsidRPr="00A21AA8">
              <w:rPr>
                <w:rFonts w:eastAsia="Times New Roman"/>
                <w:b/>
                <w:bCs/>
                <w:color w:val="000000"/>
                <w:sz w:val="22"/>
                <w:szCs w:val="22"/>
                <w:lang w:eastAsia="en-GB"/>
              </w:rPr>
              <w:t xml:space="preserve">As at </w:t>
            </w:r>
            <w:r w:rsidRPr="00CA74BC">
              <w:rPr>
                <w:rFonts w:eastAsia="Times New Roman"/>
                <w:b/>
                <w:bCs/>
                <w:color w:val="000000"/>
                <w:sz w:val="22"/>
                <w:szCs w:val="22"/>
                <w:lang w:eastAsia="en-GB"/>
              </w:rPr>
              <w:t>March 2016</w:t>
            </w:r>
          </w:p>
        </w:tc>
        <w:tc>
          <w:tcPr>
            <w:tcW w:w="400" w:type="dxa"/>
            <w:tcBorders>
              <w:top w:val="nil"/>
              <w:left w:val="nil"/>
              <w:bottom w:val="nil"/>
              <w:right w:val="nil"/>
            </w:tcBorders>
            <w:shd w:val="clear" w:color="auto" w:fill="auto"/>
            <w:noWrap/>
            <w:vAlign w:val="bottom"/>
            <w:hideMark/>
          </w:tcPr>
          <w:p w:rsidR="00677071" w:rsidRPr="00A21AA8" w:rsidRDefault="00677071" w:rsidP="002A3204">
            <w:pPr>
              <w:rPr>
                <w:rFonts w:eastAsia="Times New Roman"/>
                <w:color w:val="000000"/>
                <w:sz w:val="22"/>
                <w:szCs w:val="22"/>
                <w:lang w:eastAsia="en-GB"/>
              </w:rPr>
            </w:pPr>
          </w:p>
        </w:tc>
        <w:tc>
          <w:tcPr>
            <w:tcW w:w="4104" w:type="dxa"/>
            <w:gridSpan w:val="3"/>
            <w:tcBorders>
              <w:top w:val="nil"/>
              <w:left w:val="nil"/>
              <w:bottom w:val="nil"/>
              <w:right w:val="nil"/>
            </w:tcBorders>
            <w:shd w:val="clear" w:color="auto" w:fill="auto"/>
            <w:noWrap/>
            <w:vAlign w:val="bottom"/>
            <w:hideMark/>
          </w:tcPr>
          <w:p w:rsidR="00677071" w:rsidRPr="00D27E5B" w:rsidRDefault="00677071" w:rsidP="002A3204">
            <w:pPr>
              <w:rPr>
                <w:rFonts w:eastAsia="Times New Roman"/>
                <w:b/>
                <w:bCs/>
                <w:color w:val="000000"/>
                <w:sz w:val="22"/>
                <w:szCs w:val="22"/>
                <w:lang w:eastAsia="en-GB"/>
              </w:rPr>
            </w:pPr>
            <w:r w:rsidRPr="00CA74BC">
              <w:rPr>
                <w:rFonts w:eastAsia="Times New Roman"/>
                <w:b/>
                <w:bCs/>
                <w:color w:val="000000"/>
                <w:sz w:val="22"/>
                <w:szCs w:val="22"/>
                <w:lang w:eastAsia="en-GB"/>
              </w:rPr>
              <w:t>As at 31 March 2017</w:t>
            </w:r>
          </w:p>
        </w:tc>
        <w:tc>
          <w:tcPr>
            <w:tcW w:w="400" w:type="dxa"/>
            <w:tcBorders>
              <w:top w:val="nil"/>
              <w:left w:val="nil"/>
              <w:bottom w:val="nil"/>
              <w:right w:val="nil"/>
            </w:tcBorders>
            <w:shd w:val="clear" w:color="auto" w:fill="auto"/>
            <w:noWrap/>
            <w:vAlign w:val="bottom"/>
            <w:hideMark/>
          </w:tcPr>
          <w:p w:rsidR="00677071" w:rsidRPr="00A21AA8" w:rsidRDefault="00677071" w:rsidP="002A3204">
            <w:pPr>
              <w:rPr>
                <w:rFonts w:eastAsia="Times New Roman"/>
                <w:color w:val="000000"/>
                <w:sz w:val="22"/>
                <w:szCs w:val="22"/>
                <w:lang w:eastAsia="en-GB"/>
              </w:rPr>
            </w:pPr>
          </w:p>
        </w:tc>
        <w:tc>
          <w:tcPr>
            <w:tcW w:w="4104" w:type="dxa"/>
            <w:gridSpan w:val="3"/>
            <w:tcBorders>
              <w:top w:val="nil"/>
              <w:left w:val="nil"/>
              <w:bottom w:val="nil"/>
              <w:right w:val="nil"/>
            </w:tcBorders>
            <w:shd w:val="clear" w:color="auto" w:fill="auto"/>
            <w:noWrap/>
            <w:vAlign w:val="bottom"/>
            <w:hideMark/>
          </w:tcPr>
          <w:p w:rsidR="00677071" w:rsidRPr="00D27E5B" w:rsidRDefault="00677071" w:rsidP="002A3204">
            <w:pPr>
              <w:rPr>
                <w:rFonts w:eastAsia="Times New Roman"/>
                <w:b/>
                <w:bCs/>
                <w:color w:val="000000"/>
                <w:sz w:val="22"/>
                <w:szCs w:val="22"/>
                <w:lang w:eastAsia="en-GB"/>
              </w:rPr>
            </w:pPr>
            <w:r w:rsidRPr="00CA74BC">
              <w:rPr>
                <w:rFonts w:eastAsia="Times New Roman"/>
                <w:b/>
                <w:bCs/>
                <w:color w:val="000000"/>
                <w:sz w:val="22"/>
                <w:szCs w:val="22"/>
                <w:lang w:eastAsia="en-GB"/>
              </w:rPr>
              <w:t>As at 31 March 2018</w:t>
            </w:r>
          </w:p>
        </w:tc>
      </w:tr>
      <w:tr w:rsidR="00677071" w:rsidRPr="00A21AA8" w:rsidTr="002A3204">
        <w:trPr>
          <w:trHeight w:val="315"/>
        </w:trPr>
        <w:tc>
          <w:tcPr>
            <w:tcW w:w="1471" w:type="dxa"/>
            <w:tcBorders>
              <w:top w:val="nil"/>
              <w:left w:val="nil"/>
              <w:bottom w:val="nil"/>
              <w:right w:val="nil"/>
            </w:tcBorders>
            <w:shd w:val="clear" w:color="auto" w:fill="auto"/>
            <w:noWrap/>
            <w:vAlign w:val="bottom"/>
            <w:hideMark/>
          </w:tcPr>
          <w:p w:rsidR="00677071" w:rsidRPr="00A21AA8" w:rsidRDefault="00677071" w:rsidP="002A3204">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677071" w:rsidRPr="00A21AA8" w:rsidRDefault="00677071" w:rsidP="002A3204">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677071" w:rsidRPr="00A21AA8" w:rsidRDefault="00677071" w:rsidP="002A3204">
            <w:pPr>
              <w:jc w:val="center"/>
              <w:rPr>
                <w:rFonts w:eastAsia="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677071" w:rsidRPr="00A21AA8" w:rsidRDefault="00677071" w:rsidP="002A3204">
            <w:pPr>
              <w:rPr>
                <w:rFonts w:eastAsia="Times New Roman"/>
                <w:color w:val="000000"/>
                <w:sz w:val="22"/>
                <w:szCs w:val="22"/>
                <w:lang w:eastAsia="en-GB"/>
              </w:rPr>
            </w:pPr>
          </w:p>
        </w:tc>
        <w:tc>
          <w:tcPr>
            <w:tcW w:w="1471" w:type="dxa"/>
            <w:tcBorders>
              <w:top w:val="nil"/>
              <w:left w:val="nil"/>
              <w:bottom w:val="nil"/>
              <w:right w:val="nil"/>
            </w:tcBorders>
            <w:shd w:val="clear" w:color="auto" w:fill="auto"/>
            <w:noWrap/>
            <w:vAlign w:val="bottom"/>
            <w:hideMark/>
          </w:tcPr>
          <w:p w:rsidR="00677071" w:rsidRPr="00A21AA8" w:rsidRDefault="00677071" w:rsidP="002A3204">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677071" w:rsidRPr="00A21AA8" w:rsidRDefault="00677071" w:rsidP="002A3204">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677071" w:rsidRPr="00A21AA8" w:rsidRDefault="00677071" w:rsidP="002A3204">
            <w:pPr>
              <w:jc w:val="center"/>
              <w:rPr>
                <w:rFonts w:eastAsia="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677071" w:rsidRPr="00A21AA8" w:rsidRDefault="00677071" w:rsidP="002A3204">
            <w:pPr>
              <w:rPr>
                <w:rFonts w:eastAsia="Times New Roman"/>
                <w:color w:val="000000"/>
                <w:sz w:val="22"/>
                <w:szCs w:val="22"/>
                <w:lang w:eastAsia="en-GB"/>
              </w:rPr>
            </w:pPr>
          </w:p>
        </w:tc>
        <w:tc>
          <w:tcPr>
            <w:tcW w:w="1471" w:type="dxa"/>
            <w:tcBorders>
              <w:top w:val="nil"/>
              <w:left w:val="nil"/>
              <w:bottom w:val="nil"/>
              <w:right w:val="nil"/>
            </w:tcBorders>
            <w:shd w:val="clear" w:color="auto" w:fill="auto"/>
            <w:noWrap/>
            <w:vAlign w:val="bottom"/>
            <w:hideMark/>
          </w:tcPr>
          <w:p w:rsidR="00677071" w:rsidRPr="00A21AA8" w:rsidRDefault="00677071" w:rsidP="002A3204">
            <w:pPr>
              <w:rPr>
                <w:rFonts w:eastAsia="Times New Roman"/>
                <w:color w:val="000000"/>
                <w:sz w:val="22"/>
                <w:szCs w:val="22"/>
                <w:lang w:eastAsia="en-GB"/>
              </w:rPr>
            </w:pPr>
          </w:p>
        </w:tc>
        <w:tc>
          <w:tcPr>
            <w:tcW w:w="1510" w:type="dxa"/>
            <w:tcBorders>
              <w:top w:val="nil"/>
              <w:left w:val="nil"/>
              <w:bottom w:val="nil"/>
              <w:right w:val="nil"/>
            </w:tcBorders>
            <w:shd w:val="clear" w:color="auto" w:fill="auto"/>
            <w:noWrap/>
            <w:vAlign w:val="bottom"/>
            <w:hideMark/>
          </w:tcPr>
          <w:p w:rsidR="00677071" w:rsidRPr="00A21AA8" w:rsidRDefault="00677071" w:rsidP="002A3204">
            <w:pPr>
              <w:jc w:val="center"/>
              <w:rPr>
                <w:rFonts w:eastAsia="Times New Roman"/>
                <w:color w:val="000000"/>
                <w:sz w:val="22"/>
                <w:szCs w:val="22"/>
                <w:lang w:eastAsia="en-GB"/>
              </w:rPr>
            </w:pPr>
          </w:p>
        </w:tc>
        <w:tc>
          <w:tcPr>
            <w:tcW w:w="1123" w:type="dxa"/>
            <w:tcBorders>
              <w:top w:val="nil"/>
              <w:left w:val="nil"/>
              <w:bottom w:val="nil"/>
              <w:right w:val="nil"/>
            </w:tcBorders>
            <w:shd w:val="clear" w:color="auto" w:fill="auto"/>
            <w:noWrap/>
            <w:vAlign w:val="bottom"/>
            <w:hideMark/>
          </w:tcPr>
          <w:p w:rsidR="00677071" w:rsidRPr="00A21AA8" w:rsidRDefault="00677071" w:rsidP="002A3204">
            <w:pPr>
              <w:jc w:val="center"/>
              <w:rPr>
                <w:rFonts w:eastAsia="Times New Roman"/>
                <w:color w:val="000000"/>
                <w:sz w:val="22"/>
                <w:szCs w:val="22"/>
                <w:lang w:eastAsia="en-GB"/>
              </w:rPr>
            </w:pPr>
          </w:p>
        </w:tc>
      </w:tr>
      <w:tr w:rsidR="00677071" w:rsidRPr="00BB10D7" w:rsidTr="002A3204">
        <w:trPr>
          <w:trHeight w:val="315"/>
        </w:trPr>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677071" w:rsidRPr="00BB10D7" w:rsidRDefault="00677071" w:rsidP="002A3204">
            <w:pPr>
              <w:rPr>
                <w:rFonts w:eastAsia="Times New Roman"/>
                <w:b/>
                <w:bCs/>
                <w:color w:val="000000"/>
                <w:sz w:val="20"/>
                <w:szCs w:val="20"/>
                <w:lang w:eastAsia="en-GB"/>
              </w:rPr>
            </w:pPr>
            <w:r w:rsidRPr="00BB10D7">
              <w:rPr>
                <w:rFonts w:eastAsia="Times New Roman"/>
                <w:b/>
                <w:bCs/>
                <w:color w:val="000000"/>
                <w:sz w:val="20"/>
                <w:szCs w:val="20"/>
                <w:lang w:eastAsia="en-GB"/>
              </w:rPr>
              <w:t>Disability</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677071" w:rsidRPr="00BB10D7" w:rsidRDefault="00677071" w:rsidP="002A3204">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677071" w:rsidRPr="00BB10D7" w:rsidRDefault="00292EF0" w:rsidP="002A3204">
            <w:pPr>
              <w:jc w:val="center"/>
              <w:rPr>
                <w:rFonts w:eastAsia="Times New Roman"/>
                <w:b/>
                <w:bCs/>
                <w:color w:val="000000"/>
                <w:sz w:val="20"/>
                <w:szCs w:val="20"/>
                <w:lang w:eastAsia="en-GB"/>
              </w:rPr>
            </w:pPr>
            <w:r w:rsidRPr="00BB10D7">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677071" w:rsidRPr="00BB10D7" w:rsidRDefault="00677071" w:rsidP="002A3204">
            <w:pPr>
              <w:rPr>
                <w:rFonts w:eastAsia="Times New Roman"/>
                <w:color w:val="000000"/>
                <w:sz w:val="20"/>
                <w:szCs w:val="20"/>
                <w:lang w:eastAsia="en-GB"/>
              </w:rPr>
            </w:pPr>
          </w:p>
        </w:tc>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677071" w:rsidRPr="00BB10D7" w:rsidRDefault="00677071" w:rsidP="002A3204">
            <w:pPr>
              <w:rPr>
                <w:rFonts w:eastAsia="Times New Roman"/>
                <w:b/>
                <w:bCs/>
                <w:color w:val="000000"/>
                <w:sz w:val="20"/>
                <w:szCs w:val="20"/>
                <w:lang w:eastAsia="en-GB"/>
              </w:rPr>
            </w:pPr>
            <w:r w:rsidRPr="00BB10D7">
              <w:rPr>
                <w:rFonts w:eastAsia="Times New Roman"/>
                <w:b/>
                <w:bCs/>
                <w:color w:val="000000"/>
                <w:sz w:val="20"/>
                <w:szCs w:val="20"/>
                <w:lang w:eastAsia="en-GB"/>
              </w:rPr>
              <w:t>Disability</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677071" w:rsidRPr="00BB10D7" w:rsidRDefault="00677071" w:rsidP="002A3204">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677071" w:rsidRPr="00BB10D7" w:rsidRDefault="00292EF0" w:rsidP="002A3204">
            <w:pPr>
              <w:jc w:val="center"/>
              <w:rPr>
                <w:rFonts w:eastAsia="Times New Roman"/>
                <w:b/>
                <w:bCs/>
                <w:color w:val="000000"/>
                <w:sz w:val="20"/>
                <w:szCs w:val="20"/>
                <w:lang w:eastAsia="en-GB"/>
              </w:rPr>
            </w:pPr>
            <w:r w:rsidRPr="00BB10D7">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677071" w:rsidRPr="00BB10D7" w:rsidRDefault="00677071" w:rsidP="002A3204">
            <w:pPr>
              <w:rPr>
                <w:rFonts w:eastAsia="Times New Roman"/>
                <w:color w:val="000000"/>
                <w:sz w:val="20"/>
                <w:szCs w:val="20"/>
                <w:lang w:eastAsia="en-GB"/>
              </w:rPr>
            </w:pPr>
          </w:p>
        </w:tc>
        <w:tc>
          <w:tcPr>
            <w:tcW w:w="147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677071" w:rsidRPr="00BB10D7" w:rsidRDefault="00677071" w:rsidP="002A3204">
            <w:pPr>
              <w:rPr>
                <w:rFonts w:eastAsia="Times New Roman"/>
                <w:b/>
                <w:bCs/>
                <w:color w:val="000000"/>
                <w:sz w:val="20"/>
                <w:szCs w:val="20"/>
                <w:lang w:eastAsia="en-GB"/>
              </w:rPr>
            </w:pPr>
            <w:r w:rsidRPr="00BB10D7">
              <w:rPr>
                <w:rFonts w:eastAsia="Times New Roman"/>
                <w:b/>
                <w:bCs/>
                <w:color w:val="000000"/>
                <w:sz w:val="20"/>
                <w:szCs w:val="20"/>
                <w:lang w:eastAsia="en-GB"/>
              </w:rPr>
              <w:t>Disability</w:t>
            </w:r>
          </w:p>
        </w:tc>
        <w:tc>
          <w:tcPr>
            <w:tcW w:w="1510" w:type="dxa"/>
            <w:tcBorders>
              <w:top w:val="single" w:sz="8" w:space="0" w:color="auto"/>
              <w:left w:val="nil"/>
              <w:bottom w:val="single" w:sz="8" w:space="0" w:color="auto"/>
              <w:right w:val="single" w:sz="8" w:space="0" w:color="auto"/>
            </w:tcBorders>
            <w:shd w:val="clear" w:color="000000" w:fill="DCE6F1"/>
            <w:noWrap/>
            <w:vAlign w:val="center"/>
            <w:hideMark/>
          </w:tcPr>
          <w:p w:rsidR="00677071" w:rsidRPr="00BB10D7" w:rsidRDefault="00677071" w:rsidP="002A3204">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123" w:type="dxa"/>
            <w:tcBorders>
              <w:top w:val="single" w:sz="8" w:space="0" w:color="auto"/>
              <w:left w:val="nil"/>
              <w:bottom w:val="single" w:sz="8" w:space="0" w:color="auto"/>
              <w:right w:val="single" w:sz="8" w:space="0" w:color="auto"/>
            </w:tcBorders>
            <w:shd w:val="clear" w:color="000000" w:fill="DCE6F1"/>
            <w:noWrap/>
            <w:vAlign w:val="center"/>
            <w:hideMark/>
          </w:tcPr>
          <w:p w:rsidR="00677071" w:rsidRPr="00BB10D7" w:rsidRDefault="00292EF0" w:rsidP="002A3204">
            <w:pPr>
              <w:jc w:val="center"/>
              <w:rPr>
                <w:rFonts w:eastAsia="Times New Roman"/>
                <w:b/>
                <w:bCs/>
                <w:color w:val="000000"/>
                <w:sz w:val="20"/>
                <w:szCs w:val="20"/>
                <w:lang w:eastAsia="en-GB"/>
              </w:rPr>
            </w:pPr>
            <w:r w:rsidRPr="00BB10D7">
              <w:rPr>
                <w:rFonts w:eastAsia="Times New Roman"/>
                <w:b/>
                <w:bCs/>
                <w:color w:val="000000"/>
                <w:sz w:val="20"/>
                <w:szCs w:val="20"/>
                <w:lang w:eastAsia="en-GB"/>
              </w:rPr>
              <w:t>Number</w:t>
            </w:r>
          </w:p>
        </w:tc>
      </w:tr>
      <w:tr w:rsidR="009E6EF5" w:rsidRPr="00BB10D7" w:rsidTr="00EB1FAA">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9E6EF5" w:rsidRPr="00BB10D7" w:rsidRDefault="009E6EF5" w:rsidP="002A3204">
            <w:pPr>
              <w:rPr>
                <w:rFonts w:eastAsia="Times New Roman"/>
                <w:color w:val="000000"/>
                <w:sz w:val="20"/>
                <w:szCs w:val="20"/>
                <w:lang w:eastAsia="en-GB"/>
              </w:rPr>
            </w:pPr>
            <w:r w:rsidRPr="00BB10D7">
              <w:rPr>
                <w:rFonts w:eastAsia="Times New Roman"/>
                <w:color w:val="000000"/>
                <w:sz w:val="20"/>
                <w:szCs w:val="20"/>
                <w:lang w:eastAsia="en-GB"/>
              </w:rPr>
              <w:t>No</w:t>
            </w:r>
          </w:p>
        </w:tc>
        <w:tc>
          <w:tcPr>
            <w:tcW w:w="1510" w:type="dxa"/>
            <w:tcBorders>
              <w:top w:val="nil"/>
              <w:left w:val="nil"/>
              <w:bottom w:val="single" w:sz="8" w:space="0" w:color="auto"/>
              <w:right w:val="single" w:sz="8" w:space="0" w:color="auto"/>
            </w:tcBorders>
            <w:shd w:val="clear" w:color="auto" w:fill="auto"/>
            <w:noWrap/>
            <w:vAlign w:val="center"/>
            <w:hideMark/>
          </w:tcPr>
          <w:p w:rsidR="009E6EF5" w:rsidRPr="00BB10D7" w:rsidRDefault="009E6EF5" w:rsidP="002A3204">
            <w:pPr>
              <w:jc w:val="center"/>
              <w:rPr>
                <w:rFonts w:eastAsia="Times New Roman"/>
                <w:color w:val="000000"/>
                <w:sz w:val="20"/>
                <w:szCs w:val="20"/>
                <w:lang w:eastAsia="en-GB"/>
              </w:rPr>
            </w:pPr>
            <w:r w:rsidRPr="00BB10D7">
              <w:rPr>
                <w:rFonts w:eastAsia="Times New Roman"/>
                <w:color w:val="000000"/>
                <w:sz w:val="20"/>
                <w:szCs w:val="20"/>
                <w:lang w:eastAsia="en-GB"/>
              </w:rPr>
              <w:t>85.81</w:t>
            </w:r>
          </w:p>
        </w:tc>
        <w:tc>
          <w:tcPr>
            <w:tcW w:w="1123" w:type="dxa"/>
            <w:tcBorders>
              <w:top w:val="nil"/>
              <w:left w:val="nil"/>
              <w:bottom w:val="single" w:sz="8" w:space="0" w:color="auto"/>
              <w:right w:val="single" w:sz="8" w:space="0" w:color="auto"/>
            </w:tcBorders>
            <w:shd w:val="clear" w:color="auto" w:fill="auto"/>
            <w:noWrap/>
            <w:vAlign w:val="center"/>
            <w:hideMark/>
          </w:tcPr>
          <w:p w:rsidR="009E6EF5" w:rsidRPr="00BB10D7" w:rsidRDefault="009E6EF5" w:rsidP="002A3204">
            <w:pPr>
              <w:jc w:val="center"/>
              <w:rPr>
                <w:rFonts w:eastAsia="Times New Roman"/>
                <w:color w:val="000000"/>
                <w:sz w:val="20"/>
                <w:szCs w:val="20"/>
                <w:lang w:eastAsia="en-GB"/>
              </w:rPr>
            </w:pPr>
            <w:r w:rsidRPr="00BB10D7">
              <w:rPr>
                <w:rFonts w:eastAsia="Times New Roman"/>
                <w:color w:val="000000"/>
                <w:sz w:val="20"/>
                <w:szCs w:val="20"/>
                <w:lang w:eastAsia="en-GB"/>
              </w:rPr>
              <w:t>1076</w:t>
            </w:r>
          </w:p>
        </w:tc>
        <w:tc>
          <w:tcPr>
            <w:tcW w:w="400" w:type="dxa"/>
            <w:tcBorders>
              <w:top w:val="nil"/>
              <w:left w:val="nil"/>
              <w:bottom w:val="nil"/>
              <w:right w:val="nil"/>
            </w:tcBorders>
            <w:shd w:val="clear" w:color="auto" w:fill="auto"/>
            <w:noWrap/>
            <w:vAlign w:val="bottom"/>
            <w:hideMark/>
          </w:tcPr>
          <w:p w:rsidR="009E6EF5" w:rsidRPr="00BB10D7" w:rsidRDefault="009E6EF5" w:rsidP="002A3204">
            <w:pPr>
              <w:rPr>
                <w:rFonts w:eastAsia="Times New Roman"/>
                <w:color w:val="000000"/>
                <w:sz w:val="20"/>
                <w:szCs w:val="20"/>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9E6EF5" w:rsidRPr="00BB10D7" w:rsidRDefault="009E6EF5" w:rsidP="002A3204">
            <w:pPr>
              <w:rPr>
                <w:rFonts w:eastAsia="Times New Roman"/>
                <w:color w:val="000000"/>
                <w:sz w:val="20"/>
                <w:szCs w:val="20"/>
                <w:lang w:eastAsia="en-GB"/>
              </w:rPr>
            </w:pPr>
            <w:r w:rsidRPr="00BB10D7">
              <w:rPr>
                <w:rFonts w:eastAsia="Times New Roman"/>
                <w:color w:val="000000"/>
                <w:sz w:val="20"/>
                <w:szCs w:val="20"/>
                <w:lang w:eastAsia="en-GB"/>
              </w:rPr>
              <w:t>No</w:t>
            </w:r>
          </w:p>
        </w:tc>
        <w:tc>
          <w:tcPr>
            <w:tcW w:w="1510" w:type="dxa"/>
            <w:tcBorders>
              <w:top w:val="nil"/>
              <w:left w:val="nil"/>
              <w:bottom w:val="single" w:sz="8" w:space="0" w:color="auto"/>
              <w:right w:val="single" w:sz="8" w:space="0" w:color="auto"/>
            </w:tcBorders>
            <w:shd w:val="clear" w:color="auto" w:fill="auto"/>
            <w:noWrap/>
            <w:vAlign w:val="center"/>
            <w:hideMark/>
          </w:tcPr>
          <w:p w:rsidR="009E6EF5" w:rsidRDefault="009E6EF5" w:rsidP="003878E1">
            <w:pPr>
              <w:jc w:val="center"/>
              <w:rPr>
                <w:sz w:val="20"/>
                <w:szCs w:val="20"/>
              </w:rPr>
            </w:pPr>
            <w:r>
              <w:rPr>
                <w:sz w:val="20"/>
                <w:szCs w:val="20"/>
              </w:rPr>
              <w:t>85.44</w:t>
            </w:r>
          </w:p>
        </w:tc>
        <w:tc>
          <w:tcPr>
            <w:tcW w:w="1123" w:type="dxa"/>
            <w:tcBorders>
              <w:top w:val="nil"/>
              <w:left w:val="nil"/>
              <w:bottom w:val="single" w:sz="8" w:space="0" w:color="auto"/>
              <w:right w:val="single" w:sz="8" w:space="0" w:color="auto"/>
            </w:tcBorders>
            <w:shd w:val="clear" w:color="auto" w:fill="auto"/>
            <w:noWrap/>
            <w:vAlign w:val="center"/>
          </w:tcPr>
          <w:p w:rsidR="009E6EF5" w:rsidRDefault="009E6EF5" w:rsidP="003878E1">
            <w:pPr>
              <w:jc w:val="center"/>
              <w:rPr>
                <w:sz w:val="20"/>
                <w:szCs w:val="20"/>
              </w:rPr>
            </w:pPr>
            <w:r>
              <w:rPr>
                <w:sz w:val="20"/>
                <w:szCs w:val="20"/>
              </w:rPr>
              <w:t>1121</w:t>
            </w:r>
          </w:p>
        </w:tc>
        <w:tc>
          <w:tcPr>
            <w:tcW w:w="400" w:type="dxa"/>
            <w:tcBorders>
              <w:top w:val="nil"/>
              <w:left w:val="nil"/>
              <w:bottom w:val="nil"/>
              <w:right w:val="nil"/>
            </w:tcBorders>
            <w:shd w:val="clear" w:color="auto" w:fill="auto"/>
            <w:noWrap/>
            <w:vAlign w:val="bottom"/>
            <w:hideMark/>
          </w:tcPr>
          <w:p w:rsidR="009E6EF5" w:rsidRPr="00BB10D7" w:rsidRDefault="009E6EF5" w:rsidP="002A3204">
            <w:pPr>
              <w:rPr>
                <w:rFonts w:eastAsia="Times New Roman"/>
                <w:color w:val="000000"/>
                <w:sz w:val="20"/>
                <w:szCs w:val="20"/>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9E6EF5" w:rsidRPr="00BB10D7" w:rsidRDefault="009E6EF5" w:rsidP="002A3204">
            <w:pPr>
              <w:rPr>
                <w:rFonts w:eastAsia="Times New Roman"/>
                <w:color w:val="000000"/>
                <w:sz w:val="20"/>
                <w:szCs w:val="20"/>
                <w:lang w:eastAsia="en-GB"/>
              </w:rPr>
            </w:pPr>
            <w:r w:rsidRPr="00BB10D7">
              <w:rPr>
                <w:rFonts w:eastAsia="Times New Roman"/>
                <w:color w:val="000000"/>
                <w:sz w:val="20"/>
                <w:szCs w:val="20"/>
                <w:lang w:eastAsia="en-GB"/>
              </w:rPr>
              <w:t>No</w:t>
            </w:r>
          </w:p>
        </w:tc>
        <w:tc>
          <w:tcPr>
            <w:tcW w:w="1510" w:type="dxa"/>
            <w:tcBorders>
              <w:top w:val="nil"/>
              <w:left w:val="nil"/>
              <w:bottom w:val="single" w:sz="8" w:space="0" w:color="auto"/>
              <w:right w:val="single" w:sz="8" w:space="0" w:color="auto"/>
            </w:tcBorders>
            <w:shd w:val="clear" w:color="auto" w:fill="auto"/>
            <w:noWrap/>
            <w:vAlign w:val="center"/>
          </w:tcPr>
          <w:p w:rsidR="009E6EF5" w:rsidRDefault="009E6EF5">
            <w:pPr>
              <w:jc w:val="center"/>
              <w:rPr>
                <w:color w:val="000000"/>
                <w:sz w:val="20"/>
                <w:szCs w:val="20"/>
              </w:rPr>
            </w:pPr>
            <w:r>
              <w:rPr>
                <w:color w:val="000000"/>
                <w:sz w:val="20"/>
                <w:szCs w:val="20"/>
              </w:rPr>
              <w:t>86.16</w:t>
            </w:r>
          </w:p>
        </w:tc>
        <w:tc>
          <w:tcPr>
            <w:tcW w:w="1123" w:type="dxa"/>
            <w:tcBorders>
              <w:top w:val="nil"/>
              <w:left w:val="nil"/>
              <w:bottom w:val="single" w:sz="8" w:space="0" w:color="auto"/>
              <w:right w:val="single" w:sz="8" w:space="0" w:color="auto"/>
            </w:tcBorders>
            <w:shd w:val="clear" w:color="auto" w:fill="auto"/>
            <w:noWrap/>
            <w:vAlign w:val="center"/>
          </w:tcPr>
          <w:p w:rsidR="009E6EF5" w:rsidRDefault="009E6EF5">
            <w:pPr>
              <w:jc w:val="center"/>
              <w:rPr>
                <w:color w:val="000000"/>
                <w:sz w:val="20"/>
                <w:szCs w:val="20"/>
              </w:rPr>
            </w:pPr>
            <w:r>
              <w:rPr>
                <w:color w:val="000000"/>
                <w:sz w:val="20"/>
                <w:szCs w:val="20"/>
              </w:rPr>
              <w:t>1145</w:t>
            </w:r>
          </w:p>
        </w:tc>
      </w:tr>
      <w:tr w:rsidR="009E6EF5" w:rsidRPr="00BB10D7" w:rsidTr="00EB1FAA">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9E6EF5" w:rsidRPr="00BB10D7" w:rsidRDefault="009E6EF5" w:rsidP="002A3204">
            <w:pPr>
              <w:rPr>
                <w:rFonts w:eastAsia="Times New Roman"/>
                <w:color w:val="000000"/>
                <w:sz w:val="20"/>
                <w:szCs w:val="20"/>
                <w:lang w:eastAsia="en-GB"/>
              </w:rPr>
            </w:pPr>
            <w:r w:rsidRPr="00BB10D7">
              <w:rPr>
                <w:rFonts w:eastAsia="Times New Roman"/>
                <w:color w:val="000000"/>
                <w:sz w:val="20"/>
                <w:szCs w:val="20"/>
                <w:lang w:eastAsia="en-GB"/>
              </w:rPr>
              <w:t>Not Known</w:t>
            </w:r>
          </w:p>
        </w:tc>
        <w:tc>
          <w:tcPr>
            <w:tcW w:w="1510" w:type="dxa"/>
            <w:tcBorders>
              <w:top w:val="nil"/>
              <w:left w:val="nil"/>
              <w:bottom w:val="single" w:sz="8" w:space="0" w:color="auto"/>
              <w:right w:val="single" w:sz="8" w:space="0" w:color="auto"/>
            </w:tcBorders>
            <w:shd w:val="clear" w:color="auto" w:fill="auto"/>
            <w:noWrap/>
            <w:vAlign w:val="center"/>
            <w:hideMark/>
          </w:tcPr>
          <w:p w:rsidR="009E6EF5" w:rsidRPr="00BB10D7" w:rsidRDefault="009E6EF5" w:rsidP="002A3204">
            <w:pPr>
              <w:jc w:val="center"/>
              <w:rPr>
                <w:rFonts w:eastAsia="Times New Roman"/>
                <w:color w:val="000000"/>
                <w:sz w:val="20"/>
                <w:szCs w:val="20"/>
                <w:lang w:eastAsia="en-GB"/>
              </w:rPr>
            </w:pPr>
            <w:r>
              <w:rPr>
                <w:rFonts w:eastAsia="Times New Roman"/>
                <w:color w:val="000000"/>
                <w:sz w:val="20"/>
                <w:szCs w:val="20"/>
                <w:lang w:eastAsia="en-GB"/>
              </w:rPr>
              <w:t>1.04</w:t>
            </w:r>
          </w:p>
        </w:tc>
        <w:tc>
          <w:tcPr>
            <w:tcW w:w="1123" w:type="dxa"/>
            <w:tcBorders>
              <w:top w:val="nil"/>
              <w:left w:val="nil"/>
              <w:bottom w:val="single" w:sz="8" w:space="0" w:color="auto"/>
              <w:right w:val="single" w:sz="8" w:space="0" w:color="auto"/>
            </w:tcBorders>
            <w:shd w:val="clear" w:color="auto" w:fill="auto"/>
            <w:noWrap/>
            <w:vAlign w:val="center"/>
            <w:hideMark/>
          </w:tcPr>
          <w:p w:rsidR="009E6EF5" w:rsidRPr="00BB10D7" w:rsidRDefault="009E6EF5" w:rsidP="002A3204">
            <w:pPr>
              <w:jc w:val="center"/>
              <w:rPr>
                <w:rFonts w:eastAsia="Times New Roman"/>
                <w:color w:val="000000"/>
                <w:sz w:val="20"/>
                <w:szCs w:val="20"/>
                <w:lang w:eastAsia="en-GB"/>
              </w:rPr>
            </w:pPr>
            <w:r>
              <w:rPr>
                <w:rFonts w:eastAsia="Times New Roman"/>
                <w:color w:val="000000"/>
                <w:sz w:val="20"/>
                <w:szCs w:val="20"/>
                <w:lang w:eastAsia="en-GB"/>
              </w:rPr>
              <w:t>13</w:t>
            </w:r>
          </w:p>
        </w:tc>
        <w:tc>
          <w:tcPr>
            <w:tcW w:w="400" w:type="dxa"/>
            <w:tcBorders>
              <w:top w:val="nil"/>
              <w:left w:val="nil"/>
              <w:bottom w:val="nil"/>
              <w:right w:val="nil"/>
            </w:tcBorders>
            <w:shd w:val="clear" w:color="auto" w:fill="auto"/>
            <w:noWrap/>
            <w:vAlign w:val="bottom"/>
            <w:hideMark/>
          </w:tcPr>
          <w:p w:rsidR="009E6EF5" w:rsidRPr="00BB10D7" w:rsidRDefault="009E6EF5" w:rsidP="002A3204">
            <w:pPr>
              <w:rPr>
                <w:rFonts w:eastAsia="Times New Roman"/>
                <w:color w:val="000000"/>
                <w:sz w:val="20"/>
                <w:szCs w:val="20"/>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9E6EF5" w:rsidRPr="00BB10D7" w:rsidRDefault="009E6EF5" w:rsidP="002A3204">
            <w:pPr>
              <w:rPr>
                <w:rFonts w:eastAsia="Times New Roman"/>
                <w:color w:val="000000"/>
                <w:sz w:val="20"/>
                <w:szCs w:val="20"/>
                <w:lang w:eastAsia="en-GB"/>
              </w:rPr>
            </w:pPr>
            <w:r w:rsidRPr="00BB10D7">
              <w:rPr>
                <w:rFonts w:eastAsia="Times New Roman"/>
                <w:color w:val="000000"/>
                <w:sz w:val="20"/>
                <w:szCs w:val="20"/>
                <w:lang w:eastAsia="en-GB"/>
              </w:rPr>
              <w:t>Not Known</w:t>
            </w:r>
          </w:p>
        </w:tc>
        <w:tc>
          <w:tcPr>
            <w:tcW w:w="1510" w:type="dxa"/>
            <w:tcBorders>
              <w:top w:val="nil"/>
              <w:left w:val="nil"/>
              <w:bottom w:val="single" w:sz="8" w:space="0" w:color="auto"/>
              <w:right w:val="single" w:sz="8" w:space="0" w:color="auto"/>
            </w:tcBorders>
            <w:shd w:val="clear" w:color="auto" w:fill="auto"/>
            <w:noWrap/>
            <w:vAlign w:val="center"/>
            <w:hideMark/>
          </w:tcPr>
          <w:p w:rsidR="009E6EF5" w:rsidRDefault="009E6EF5" w:rsidP="003878E1">
            <w:pPr>
              <w:jc w:val="center"/>
              <w:rPr>
                <w:sz w:val="20"/>
                <w:szCs w:val="20"/>
              </w:rPr>
            </w:pPr>
            <w:r>
              <w:rPr>
                <w:sz w:val="20"/>
                <w:szCs w:val="20"/>
              </w:rPr>
              <w:t>1.45</w:t>
            </w:r>
          </w:p>
        </w:tc>
        <w:tc>
          <w:tcPr>
            <w:tcW w:w="1123" w:type="dxa"/>
            <w:tcBorders>
              <w:top w:val="nil"/>
              <w:left w:val="nil"/>
              <w:bottom w:val="single" w:sz="8" w:space="0" w:color="auto"/>
              <w:right w:val="single" w:sz="8" w:space="0" w:color="auto"/>
            </w:tcBorders>
            <w:shd w:val="clear" w:color="auto" w:fill="auto"/>
            <w:noWrap/>
            <w:vAlign w:val="center"/>
          </w:tcPr>
          <w:p w:rsidR="009E6EF5" w:rsidRDefault="009E6EF5" w:rsidP="003878E1">
            <w:pPr>
              <w:jc w:val="center"/>
              <w:rPr>
                <w:sz w:val="20"/>
                <w:szCs w:val="20"/>
              </w:rPr>
            </w:pPr>
            <w:r>
              <w:rPr>
                <w:sz w:val="20"/>
                <w:szCs w:val="20"/>
              </w:rPr>
              <w:t>19</w:t>
            </w:r>
          </w:p>
        </w:tc>
        <w:tc>
          <w:tcPr>
            <w:tcW w:w="400" w:type="dxa"/>
            <w:tcBorders>
              <w:top w:val="nil"/>
              <w:left w:val="nil"/>
              <w:bottom w:val="nil"/>
              <w:right w:val="nil"/>
            </w:tcBorders>
            <w:shd w:val="clear" w:color="auto" w:fill="auto"/>
            <w:noWrap/>
            <w:vAlign w:val="bottom"/>
            <w:hideMark/>
          </w:tcPr>
          <w:p w:rsidR="009E6EF5" w:rsidRPr="00BB10D7" w:rsidRDefault="009E6EF5" w:rsidP="002A3204">
            <w:pPr>
              <w:rPr>
                <w:rFonts w:eastAsia="Times New Roman"/>
                <w:color w:val="000000"/>
                <w:sz w:val="20"/>
                <w:szCs w:val="20"/>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9E6EF5" w:rsidRPr="00BB10D7" w:rsidRDefault="009E6EF5" w:rsidP="002A3204">
            <w:pPr>
              <w:rPr>
                <w:rFonts w:eastAsia="Times New Roman"/>
                <w:color w:val="000000"/>
                <w:sz w:val="20"/>
                <w:szCs w:val="20"/>
                <w:lang w:eastAsia="en-GB"/>
              </w:rPr>
            </w:pPr>
            <w:r w:rsidRPr="00BB10D7">
              <w:rPr>
                <w:rFonts w:eastAsia="Times New Roman"/>
                <w:color w:val="000000"/>
                <w:sz w:val="20"/>
                <w:szCs w:val="20"/>
                <w:lang w:eastAsia="en-GB"/>
              </w:rPr>
              <w:t>Not Known</w:t>
            </w:r>
          </w:p>
        </w:tc>
        <w:tc>
          <w:tcPr>
            <w:tcW w:w="1510" w:type="dxa"/>
            <w:tcBorders>
              <w:top w:val="nil"/>
              <w:left w:val="nil"/>
              <w:bottom w:val="single" w:sz="8" w:space="0" w:color="auto"/>
              <w:right w:val="single" w:sz="8" w:space="0" w:color="auto"/>
            </w:tcBorders>
            <w:shd w:val="clear" w:color="auto" w:fill="auto"/>
            <w:noWrap/>
            <w:vAlign w:val="center"/>
          </w:tcPr>
          <w:p w:rsidR="009E6EF5" w:rsidRDefault="009E6EF5">
            <w:pPr>
              <w:jc w:val="center"/>
              <w:rPr>
                <w:color w:val="000000"/>
                <w:sz w:val="20"/>
                <w:szCs w:val="20"/>
              </w:rPr>
            </w:pPr>
            <w:r>
              <w:rPr>
                <w:color w:val="000000"/>
                <w:sz w:val="20"/>
                <w:szCs w:val="20"/>
              </w:rPr>
              <w:t>1.28</w:t>
            </w:r>
          </w:p>
        </w:tc>
        <w:tc>
          <w:tcPr>
            <w:tcW w:w="1123" w:type="dxa"/>
            <w:tcBorders>
              <w:top w:val="nil"/>
              <w:left w:val="nil"/>
              <w:bottom w:val="single" w:sz="8" w:space="0" w:color="auto"/>
              <w:right w:val="single" w:sz="8" w:space="0" w:color="auto"/>
            </w:tcBorders>
            <w:shd w:val="clear" w:color="auto" w:fill="auto"/>
            <w:noWrap/>
            <w:vAlign w:val="center"/>
          </w:tcPr>
          <w:p w:rsidR="009E6EF5" w:rsidRDefault="009E6EF5">
            <w:pPr>
              <w:jc w:val="center"/>
              <w:rPr>
                <w:color w:val="000000"/>
                <w:sz w:val="20"/>
                <w:szCs w:val="20"/>
              </w:rPr>
            </w:pPr>
            <w:r>
              <w:rPr>
                <w:color w:val="000000"/>
                <w:sz w:val="20"/>
                <w:szCs w:val="20"/>
              </w:rPr>
              <w:t>17</w:t>
            </w:r>
          </w:p>
        </w:tc>
      </w:tr>
      <w:tr w:rsidR="009E6EF5" w:rsidRPr="00BB10D7" w:rsidTr="00EB1FAA">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9E6EF5" w:rsidRPr="00BB10D7" w:rsidRDefault="009E6EF5" w:rsidP="002A3204">
            <w:pPr>
              <w:rPr>
                <w:rFonts w:eastAsia="Times New Roman"/>
                <w:color w:val="000000"/>
                <w:sz w:val="20"/>
                <w:szCs w:val="20"/>
                <w:lang w:eastAsia="en-GB"/>
              </w:rPr>
            </w:pPr>
            <w:r w:rsidRPr="00BB10D7">
              <w:rPr>
                <w:rFonts w:eastAsia="Times New Roman"/>
                <w:color w:val="000000"/>
                <w:sz w:val="20"/>
                <w:szCs w:val="20"/>
                <w:lang w:eastAsia="en-GB"/>
              </w:rPr>
              <w:t>Yes</w:t>
            </w:r>
          </w:p>
        </w:tc>
        <w:tc>
          <w:tcPr>
            <w:tcW w:w="1510" w:type="dxa"/>
            <w:tcBorders>
              <w:top w:val="nil"/>
              <w:left w:val="nil"/>
              <w:bottom w:val="single" w:sz="8" w:space="0" w:color="auto"/>
              <w:right w:val="single" w:sz="8" w:space="0" w:color="auto"/>
            </w:tcBorders>
            <w:shd w:val="clear" w:color="auto" w:fill="auto"/>
            <w:noWrap/>
            <w:vAlign w:val="center"/>
            <w:hideMark/>
          </w:tcPr>
          <w:p w:rsidR="009E6EF5" w:rsidRPr="00BB10D7" w:rsidRDefault="009E6EF5" w:rsidP="002A3204">
            <w:pPr>
              <w:jc w:val="center"/>
              <w:rPr>
                <w:rFonts w:eastAsia="Times New Roman"/>
                <w:color w:val="000000"/>
                <w:sz w:val="20"/>
                <w:szCs w:val="20"/>
                <w:lang w:eastAsia="en-GB"/>
              </w:rPr>
            </w:pPr>
            <w:r w:rsidRPr="00BB10D7">
              <w:rPr>
                <w:rFonts w:eastAsia="Times New Roman"/>
                <w:color w:val="000000"/>
                <w:sz w:val="20"/>
                <w:szCs w:val="20"/>
                <w:lang w:eastAsia="en-GB"/>
              </w:rPr>
              <w:t>8.45</w:t>
            </w:r>
          </w:p>
        </w:tc>
        <w:tc>
          <w:tcPr>
            <w:tcW w:w="1123" w:type="dxa"/>
            <w:tcBorders>
              <w:top w:val="nil"/>
              <w:left w:val="nil"/>
              <w:bottom w:val="single" w:sz="8" w:space="0" w:color="auto"/>
              <w:right w:val="single" w:sz="8" w:space="0" w:color="auto"/>
            </w:tcBorders>
            <w:shd w:val="clear" w:color="auto" w:fill="auto"/>
            <w:noWrap/>
            <w:vAlign w:val="center"/>
            <w:hideMark/>
          </w:tcPr>
          <w:p w:rsidR="009E6EF5" w:rsidRPr="00BB10D7" w:rsidRDefault="009E6EF5" w:rsidP="002A3204">
            <w:pPr>
              <w:jc w:val="center"/>
              <w:rPr>
                <w:rFonts w:eastAsia="Times New Roman"/>
                <w:color w:val="000000"/>
                <w:sz w:val="20"/>
                <w:szCs w:val="20"/>
                <w:lang w:eastAsia="en-GB"/>
              </w:rPr>
            </w:pPr>
            <w:r w:rsidRPr="00BB10D7">
              <w:rPr>
                <w:rFonts w:eastAsia="Times New Roman"/>
                <w:color w:val="000000"/>
                <w:sz w:val="20"/>
                <w:szCs w:val="20"/>
                <w:lang w:eastAsia="en-GB"/>
              </w:rPr>
              <w:t>106</w:t>
            </w:r>
          </w:p>
        </w:tc>
        <w:tc>
          <w:tcPr>
            <w:tcW w:w="400" w:type="dxa"/>
            <w:tcBorders>
              <w:top w:val="nil"/>
              <w:left w:val="nil"/>
              <w:bottom w:val="nil"/>
              <w:right w:val="nil"/>
            </w:tcBorders>
            <w:shd w:val="clear" w:color="auto" w:fill="auto"/>
            <w:noWrap/>
            <w:vAlign w:val="bottom"/>
            <w:hideMark/>
          </w:tcPr>
          <w:p w:rsidR="009E6EF5" w:rsidRPr="00BB10D7" w:rsidRDefault="009E6EF5" w:rsidP="002A3204">
            <w:pPr>
              <w:rPr>
                <w:rFonts w:eastAsia="Times New Roman"/>
                <w:color w:val="000000"/>
                <w:sz w:val="20"/>
                <w:szCs w:val="20"/>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9E6EF5" w:rsidRPr="00BB10D7" w:rsidRDefault="009E6EF5" w:rsidP="002A3204">
            <w:pPr>
              <w:rPr>
                <w:rFonts w:eastAsia="Times New Roman"/>
                <w:color w:val="000000"/>
                <w:sz w:val="20"/>
                <w:szCs w:val="20"/>
                <w:lang w:eastAsia="en-GB"/>
              </w:rPr>
            </w:pPr>
            <w:r w:rsidRPr="00BB10D7">
              <w:rPr>
                <w:rFonts w:eastAsia="Times New Roman"/>
                <w:color w:val="000000"/>
                <w:sz w:val="20"/>
                <w:szCs w:val="20"/>
                <w:lang w:eastAsia="en-GB"/>
              </w:rPr>
              <w:t>Yes</w:t>
            </w:r>
          </w:p>
        </w:tc>
        <w:tc>
          <w:tcPr>
            <w:tcW w:w="1510" w:type="dxa"/>
            <w:tcBorders>
              <w:top w:val="nil"/>
              <w:left w:val="nil"/>
              <w:bottom w:val="single" w:sz="8" w:space="0" w:color="auto"/>
              <w:right w:val="single" w:sz="8" w:space="0" w:color="auto"/>
            </w:tcBorders>
            <w:shd w:val="clear" w:color="auto" w:fill="auto"/>
            <w:noWrap/>
            <w:vAlign w:val="center"/>
            <w:hideMark/>
          </w:tcPr>
          <w:p w:rsidR="009E6EF5" w:rsidRDefault="009E6EF5" w:rsidP="003878E1">
            <w:pPr>
              <w:jc w:val="center"/>
              <w:rPr>
                <w:sz w:val="20"/>
                <w:szCs w:val="20"/>
              </w:rPr>
            </w:pPr>
            <w:r>
              <w:rPr>
                <w:sz w:val="20"/>
                <w:szCs w:val="20"/>
              </w:rPr>
              <w:t>7.70</w:t>
            </w:r>
          </w:p>
        </w:tc>
        <w:tc>
          <w:tcPr>
            <w:tcW w:w="1123" w:type="dxa"/>
            <w:tcBorders>
              <w:top w:val="nil"/>
              <w:left w:val="nil"/>
              <w:bottom w:val="single" w:sz="8" w:space="0" w:color="auto"/>
              <w:right w:val="single" w:sz="8" w:space="0" w:color="auto"/>
            </w:tcBorders>
            <w:shd w:val="clear" w:color="auto" w:fill="auto"/>
            <w:noWrap/>
            <w:vAlign w:val="center"/>
          </w:tcPr>
          <w:p w:rsidR="009E6EF5" w:rsidRDefault="009E6EF5" w:rsidP="003878E1">
            <w:pPr>
              <w:jc w:val="center"/>
              <w:rPr>
                <w:sz w:val="20"/>
                <w:szCs w:val="20"/>
              </w:rPr>
            </w:pPr>
            <w:r>
              <w:rPr>
                <w:sz w:val="20"/>
                <w:szCs w:val="20"/>
              </w:rPr>
              <w:t>101</w:t>
            </w:r>
          </w:p>
        </w:tc>
        <w:tc>
          <w:tcPr>
            <w:tcW w:w="400" w:type="dxa"/>
            <w:tcBorders>
              <w:top w:val="nil"/>
              <w:left w:val="nil"/>
              <w:bottom w:val="nil"/>
              <w:right w:val="nil"/>
            </w:tcBorders>
            <w:shd w:val="clear" w:color="auto" w:fill="auto"/>
            <w:noWrap/>
            <w:vAlign w:val="bottom"/>
            <w:hideMark/>
          </w:tcPr>
          <w:p w:rsidR="009E6EF5" w:rsidRPr="00BB10D7" w:rsidRDefault="009E6EF5" w:rsidP="002A3204">
            <w:pPr>
              <w:rPr>
                <w:rFonts w:eastAsia="Times New Roman"/>
                <w:color w:val="000000"/>
                <w:sz w:val="20"/>
                <w:szCs w:val="20"/>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hideMark/>
          </w:tcPr>
          <w:p w:rsidR="009E6EF5" w:rsidRPr="00BB10D7" w:rsidRDefault="009E6EF5" w:rsidP="002A3204">
            <w:pPr>
              <w:rPr>
                <w:rFonts w:eastAsia="Times New Roman"/>
                <w:color w:val="000000"/>
                <w:sz w:val="20"/>
                <w:szCs w:val="20"/>
                <w:lang w:eastAsia="en-GB"/>
              </w:rPr>
            </w:pPr>
            <w:r w:rsidRPr="00BB10D7">
              <w:rPr>
                <w:rFonts w:eastAsia="Times New Roman"/>
                <w:color w:val="000000"/>
                <w:sz w:val="20"/>
                <w:szCs w:val="20"/>
                <w:lang w:eastAsia="en-GB"/>
              </w:rPr>
              <w:t>Yes</w:t>
            </w:r>
          </w:p>
        </w:tc>
        <w:tc>
          <w:tcPr>
            <w:tcW w:w="1510" w:type="dxa"/>
            <w:tcBorders>
              <w:top w:val="nil"/>
              <w:left w:val="nil"/>
              <w:bottom w:val="single" w:sz="8" w:space="0" w:color="auto"/>
              <w:right w:val="single" w:sz="8" w:space="0" w:color="auto"/>
            </w:tcBorders>
            <w:shd w:val="clear" w:color="auto" w:fill="auto"/>
            <w:noWrap/>
            <w:vAlign w:val="center"/>
          </w:tcPr>
          <w:p w:rsidR="009E6EF5" w:rsidRDefault="009E6EF5">
            <w:pPr>
              <w:jc w:val="center"/>
              <w:rPr>
                <w:color w:val="000000"/>
                <w:sz w:val="20"/>
                <w:szCs w:val="20"/>
              </w:rPr>
            </w:pPr>
            <w:r>
              <w:rPr>
                <w:color w:val="000000"/>
                <w:sz w:val="20"/>
                <w:szCs w:val="20"/>
              </w:rPr>
              <w:t>7.22</w:t>
            </w:r>
          </w:p>
        </w:tc>
        <w:tc>
          <w:tcPr>
            <w:tcW w:w="1123" w:type="dxa"/>
            <w:tcBorders>
              <w:top w:val="nil"/>
              <w:left w:val="nil"/>
              <w:bottom w:val="single" w:sz="8" w:space="0" w:color="auto"/>
              <w:right w:val="single" w:sz="8" w:space="0" w:color="auto"/>
            </w:tcBorders>
            <w:shd w:val="clear" w:color="auto" w:fill="auto"/>
            <w:noWrap/>
            <w:vAlign w:val="center"/>
          </w:tcPr>
          <w:p w:rsidR="009E6EF5" w:rsidRDefault="009E6EF5">
            <w:pPr>
              <w:jc w:val="center"/>
              <w:rPr>
                <w:color w:val="000000"/>
                <w:sz w:val="20"/>
                <w:szCs w:val="20"/>
              </w:rPr>
            </w:pPr>
            <w:r>
              <w:rPr>
                <w:color w:val="000000"/>
                <w:sz w:val="20"/>
                <w:szCs w:val="20"/>
              </w:rPr>
              <w:t>96</w:t>
            </w:r>
          </w:p>
        </w:tc>
      </w:tr>
      <w:tr w:rsidR="009E6EF5" w:rsidRPr="00BB10D7" w:rsidTr="003878E1">
        <w:trPr>
          <w:trHeight w:val="315"/>
        </w:trPr>
        <w:tc>
          <w:tcPr>
            <w:tcW w:w="1471" w:type="dxa"/>
            <w:tcBorders>
              <w:top w:val="nil"/>
              <w:left w:val="single" w:sz="8" w:space="0" w:color="auto"/>
              <w:bottom w:val="single" w:sz="8" w:space="0" w:color="auto"/>
              <w:right w:val="single" w:sz="8" w:space="0" w:color="auto"/>
            </w:tcBorders>
            <w:shd w:val="clear" w:color="auto" w:fill="auto"/>
            <w:noWrap/>
            <w:vAlign w:val="center"/>
          </w:tcPr>
          <w:p w:rsidR="009E6EF5" w:rsidRPr="00BB10D7" w:rsidRDefault="009E6EF5" w:rsidP="002A3204">
            <w:pPr>
              <w:rPr>
                <w:rFonts w:eastAsia="Times New Roman"/>
                <w:color w:val="000000"/>
                <w:sz w:val="20"/>
                <w:szCs w:val="20"/>
                <w:lang w:eastAsia="en-GB"/>
              </w:rPr>
            </w:pPr>
            <w:r>
              <w:rPr>
                <w:rFonts w:eastAsia="Times New Roman"/>
                <w:color w:val="000000"/>
                <w:sz w:val="20"/>
                <w:szCs w:val="20"/>
                <w:lang w:eastAsia="en-GB"/>
              </w:rPr>
              <w:t>Not Specified</w:t>
            </w:r>
          </w:p>
        </w:tc>
        <w:tc>
          <w:tcPr>
            <w:tcW w:w="1510" w:type="dxa"/>
            <w:tcBorders>
              <w:top w:val="nil"/>
              <w:left w:val="nil"/>
              <w:bottom w:val="single" w:sz="8" w:space="0" w:color="auto"/>
              <w:right w:val="single" w:sz="8" w:space="0" w:color="auto"/>
            </w:tcBorders>
            <w:shd w:val="clear" w:color="auto" w:fill="auto"/>
            <w:noWrap/>
            <w:vAlign w:val="center"/>
          </w:tcPr>
          <w:p w:rsidR="009E6EF5" w:rsidRPr="00BB10D7" w:rsidRDefault="009E6EF5" w:rsidP="002A3204">
            <w:pPr>
              <w:jc w:val="center"/>
              <w:rPr>
                <w:rFonts w:eastAsia="Times New Roman"/>
                <w:color w:val="000000"/>
                <w:sz w:val="20"/>
                <w:szCs w:val="20"/>
                <w:lang w:eastAsia="en-GB"/>
              </w:rPr>
            </w:pPr>
            <w:r>
              <w:rPr>
                <w:rFonts w:eastAsia="Times New Roman"/>
                <w:color w:val="000000"/>
                <w:sz w:val="20"/>
                <w:szCs w:val="20"/>
                <w:lang w:eastAsia="en-GB"/>
              </w:rPr>
              <w:t>4.70</w:t>
            </w:r>
          </w:p>
        </w:tc>
        <w:tc>
          <w:tcPr>
            <w:tcW w:w="1123" w:type="dxa"/>
            <w:tcBorders>
              <w:top w:val="nil"/>
              <w:left w:val="nil"/>
              <w:bottom w:val="single" w:sz="8" w:space="0" w:color="auto"/>
              <w:right w:val="single" w:sz="8" w:space="0" w:color="auto"/>
            </w:tcBorders>
            <w:shd w:val="clear" w:color="auto" w:fill="auto"/>
            <w:noWrap/>
            <w:vAlign w:val="center"/>
          </w:tcPr>
          <w:p w:rsidR="009E6EF5" w:rsidRPr="00BB10D7" w:rsidRDefault="009E6EF5" w:rsidP="002A3204">
            <w:pPr>
              <w:jc w:val="center"/>
              <w:rPr>
                <w:rFonts w:eastAsia="Times New Roman"/>
                <w:color w:val="000000"/>
                <w:sz w:val="20"/>
                <w:szCs w:val="20"/>
                <w:lang w:eastAsia="en-GB"/>
              </w:rPr>
            </w:pPr>
            <w:r>
              <w:rPr>
                <w:rFonts w:eastAsia="Times New Roman"/>
                <w:color w:val="000000"/>
                <w:sz w:val="20"/>
                <w:szCs w:val="20"/>
                <w:lang w:eastAsia="en-GB"/>
              </w:rPr>
              <w:t>59</w:t>
            </w:r>
          </w:p>
        </w:tc>
        <w:tc>
          <w:tcPr>
            <w:tcW w:w="400" w:type="dxa"/>
            <w:tcBorders>
              <w:top w:val="nil"/>
              <w:left w:val="nil"/>
              <w:bottom w:val="nil"/>
              <w:right w:val="nil"/>
            </w:tcBorders>
            <w:shd w:val="clear" w:color="auto" w:fill="auto"/>
            <w:noWrap/>
            <w:vAlign w:val="bottom"/>
          </w:tcPr>
          <w:p w:rsidR="009E6EF5" w:rsidRPr="00BB10D7" w:rsidRDefault="009E6EF5" w:rsidP="002A3204">
            <w:pPr>
              <w:rPr>
                <w:rFonts w:eastAsia="Times New Roman"/>
                <w:color w:val="000000"/>
                <w:sz w:val="20"/>
                <w:szCs w:val="20"/>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9E6EF5" w:rsidRPr="00BB10D7" w:rsidRDefault="009E6EF5" w:rsidP="0045604C">
            <w:pPr>
              <w:rPr>
                <w:rFonts w:eastAsia="Times New Roman"/>
                <w:color w:val="000000"/>
                <w:sz w:val="20"/>
                <w:szCs w:val="20"/>
                <w:lang w:eastAsia="en-GB"/>
              </w:rPr>
            </w:pPr>
            <w:r>
              <w:rPr>
                <w:rFonts w:eastAsia="Times New Roman"/>
                <w:color w:val="000000"/>
                <w:sz w:val="20"/>
                <w:szCs w:val="20"/>
                <w:lang w:eastAsia="en-GB"/>
              </w:rPr>
              <w:t>Not Specified</w:t>
            </w:r>
          </w:p>
        </w:tc>
        <w:tc>
          <w:tcPr>
            <w:tcW w:w="1510" w:type="dxa"/>
            <w:tcBorders>
              <w:top w:val="nil"/>
              <w:left w:val="nil"/>
              <w:bottom w:val="single" w:sz="8" w:space="0" w:color="auto"/>
              <w:right w:val="single" w:sz="8" w:space="0" w:color="auto"/>
            </w:tcBorders>
            <w:shd w:val="clear" w:color="auto" w:fill="auto"/>
            <w:noWrap/>
            <w:vAlign w:val="center"/>
          </w:tcPr>
          <w:p w:rsidR="009E6EF5" w:rsidRDefault="009E6EF5" w:rsidP="003878E1">
            <w:pPr>
              <w:jc w:val="center"/>
              <w:rPr>
                <w:sz w:val="20"/>
                <w:szCs w:val="20"/>
              </w:rPr>
            </w:pPr>
            <w:r>
              <w:rPr>
                <w:sz w:val="20"/>
                <w:szCs w:val="20"/>
              </w:rPr>
              <w:t>5.41</w:t>
            </w:r>
          </w:p>
        </w:tc>
        <w:tc>
          <w:tcPr>
            <w:tcW w:w="1123" w:type="dxa"/>
            <w:tcBorders>
              <w:top w:val="nil"/>
              <w:left w:val="nil"/>
              <w:bottom w:val="single" w:sz="8" w:space="0" w:color="auto"/>
              <w:right w:val="single" w:sz="8" w:space="0" w:color="auto"/>
            </w:tcBorders>
            <w:shd w:val="clear" w:color="auto" w:fill="auto"/>
            <w:noWrap/>
            <w:vAlign w:val="center"/>
          </w:tcPr>
          <w:p w:rsidR="009E6EF5" w:rsidRDefault="009E6EF5" w:rsidP="003878E1">
            <w:pPr>
              <w:jc w:val="center"/>
              <w:rPr>
                <w:sz w:val="20"/>
                <w:szCs w:val="20"/>
              </w:rPr>
            </w:pPr>
            <w:r>
              <w:rPr>
                <w:sz w:val="20"/>
                <w:szCs w:val="20"/>
              </w:rPr>
              <w:t>71</w:t>
            </w:r>
          </w:p>
        </w:tc>
        <w:tc>
          <w:tcPr>
            <w:tcW w:w="400" w:type="dxa"/>
            <w:tcBorders>
              <w:top w:val="nil"/>
              <w:left w:val="nil"/>
              <w:bottom w:val="nil"/>
              <w:right w:val="nil"/>
            </w:tcBorders>
            <w:shd w:val="clear" w:color="auto" w:fill="auto"/>
            <w:noWrap/>
            <w:vAlign w:val="bottom"/>
          </w:tcPr>
          <w:p w:rsidR="009E6EF5" w:rsidRPr="00BB10D7" w:rsidRDefault="009E6EF5" w:rsidP="002A3204">
            <w:pPr>
              <w:rPr>
                <w:rFonts w:eastAsia="Times New Roman"/>
                <w:color w:val="000000"/>
                <w:sz w:val="20"/>
                <w:szCs w:val="20"/>
                <w:lang w:eastAsia="en-GB"/>
              </w:rPr>
            </w:pPr>
          </w:p>
        </w:tc>
        <w:tc>
          <w:tcPr>
            <w:tcW w:w="1471" w:type="dxa"/>
            <w:tcBorders>
              <w:top w:val="nil"/>
              <w:left w:val="single" w:sz="8" w:space="0" w:color="auto"/>
              <w:bottom w:val="single" w:sz="8" w:space="0" w:color="auto"/>
              <w:right w:val="single" w:sz="8" w:space="0" w:color="auto"/>
            </w:tcBorders>
            <w:shd w:val="clear" w:color="auto" w:fill="auto"/>
            <w:noWrap/>
            <w:vAlign w:val="center"/>
          </w:tcPr>
          <w:p w:rsidR="009E6EF5" w:rsidRPr="00BB10D7" w:rsidRDefault="009E6EF5" w:rsidP="0045604C">
            <w:pPr>
              <w:rPr>
                <w:rFonts w:eastAsia="Times New Roman"/>
                <w:color w:val="000000"/>
                <w:sz w:val="20"/>
                <w:szCs w:val="20"/>
                <w:lang w:eastAsia="en-GB"/>
              </w:rPr>
            </w:pPr>
            <w:r>
              <w:rPr>
                <w:rFonts w:eastAsia="Times New Roman"/>
                <w:color w:val="000000"/>
                <w:sz w:val="20"/>
                <w:szCs w:val="20"/>
                <w:lang w:eastAsia="en-GB"/>
              </w:rPr>
              <w:t>Not Specified</w:t>
            </w:r>
          </w:p>
        </w:tc>
        <w:tc>
          <w:tcPr>
            <w:tcW w:w="1510" w:type="dxa"/>
            <w:tcBorders>
              <w:top w:val="nil"/>
              <w:left w:val="nil"/>
              <w:bottom w:val="single" w:sz="8" w:space="0" w:color="auto"/>
              <w:right w:val="single" w:sz="8" w:space="0" w:color="auto"/>
            </w:tcBorders>
            <w:shd w:val="clear" w:color="auto" w:fill="auto"/>
            <w:noWrap/>
            <w:vAlign w:val="center"/>
          </w:tcPr>
          <w:p w:rsidR="009E6EF5" w:rsidRDefault="009E6EF5">
            <w:pPr>
              <w:jc w:val="center"/>
              <w:rPr>
                <w:color w:val="000000"/>
                <w:sz w:val="20"/>
                <w:szCs w:val="20"/>
              </w:rPr>
            </w:pPr>
            <w:r>
              <w:rPr>
                <w:color w:val="000000"/>
                <w:sz w:val="20"/>
                <w:szCs w:val="20"/>
              </w:rPr>
              <w:t>5.34</w:t>
            </w:r>
          </w:p>
        </w:tc>
        <w:tc>
          <w:tcPr>
            <w:tcW w:w="1123" w:type="dxa"/>
            <w:tcBorders>
              <w:top w:val="nil"/>
              <w:left w:val="nil"/>
              <w:bottom w:val="single" w:sz="8" w:space="0" w:color="auto"/>
              <w:right w:val="single" w:sz="8" w:space="0" w:color="auto"/>
            </w:tcBorders>
            <w:shd w:val="clear" w:color="auto" w:fill="auto"/>
            <w:noWrap/>
            <w:vAlign w:val="center"/>
          </w:tcPr>
          <w:p w:rsidR="009E6EF5" w:rsidRDefault="009E6EF5">
            <w:pPr>
              <w:jc w:val="center"/>
              <w:rPr>
                <w:color w:val="000000"/>
                <w:sz w:val="20"/>
                <w:szCs w:val="20"/>
              </w:rPr>
            </w:pPr>
            <w:r>
              <w:rPr>
                <w:color w:val="000000"/>
                <w:sz w:val="20"/>
                <w:szCs w:val="20"/>
              </w:rPr>
              <w:t>71</w:t>
            </w:r>
          </w:p>
        </w:tc>
      </w:tr>
      <w:tr w:rsidR="00046199" w:rsidRPr="00BB10D7" w:rsidTr="002A3204">
        <w:trPr>
          <w:trHeight w:val="315"/>
        </w:trPr>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046199" w:rsidRPr="00BB10D7" w:rsidRDefault="00046199" w:rsidP="002A3204">
            <w:pPr>
              <w:rPr>
                <w:rFonts w:eastAsia="Times New Roman"/>
                <w:b/>
                <w:bCs/>
                <w:color w:val="000000"/>
                <w:sz w:val="20"/>
                <w:szCs w:val="20"/>
                <w:lang w:eastAsia="en-GB"/>
              </w:rPr>
            </w:pPr>
            <w:r w:rsidRPr="00BB10D7">
              <w:rPr>
                <w:rFonts w:eastAsia="Times New Roman"/>
                <w:b/>
                <w:bCs/>
                <w:color w:val="000000"/>
                <w:sz w:val="20"/>
                <w:szCs w:val="20"/>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046199" w:rsidRPr="00BB10D7" w:rsidRDefault="00046199" w:rsidP="00292EF0">
            <w:pPr>
              <w:jc w:val="center"/>
              <w:rPr>
                <w:rFonts w:eastAsia="Times New Roman"/>
                <w:b/>
                <w:bCs/>
                <w:color w:val="000000"/>
                <w:sz w:val="20"/>
                <w:szCs w:val="20"/>
                <w:lang w:eastAsia="en-GB"/>
              </w:rPr>
            </w:pPr>
            <w:r w:rsidRPr="00BB10D7">
              <w:rPr>
                <w:rFonts w:eastAsia="Times New Roman"/>
                <w:b/>
                <w:bCs/>
                <w:color w:val="000000"/>
                <w:sz w:val="20"/>
                <w:szCs w:val="20"/>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046199" w:rsidRPr="00BB10D7" w:rsidRDefault="00046199" w:rsidP="002A3204">
            <w:pPr>
              <w:jc w:val="center"/>
              <w:rPr>
                <w:rFonts w:eastAsia="Times New Roman"/>
                <w:b/>
                <w:bCs/>
                <w:color w:val="000000"/>
                <w:sz w:val="20"/>
                <w:szCs w:val="20"/>
                <w:lang w:eastAsia="en-GB"/>
              </w:rPr>
            </w:pPr>
            <w:r w:rsidRPr="00BB10D7">
              <w:rPr>
                <w:rFonts w:eastAsia="Times New Roman"/>
                <w:b/>
                <w:bCs/>
                <w:color w:val="000000"/>
                <w:sz w:val="20"/>
                <w:szCs w:val="20"/>
                <w:lang w:eastAsia="en-GB"/>
              </w:rPr>
              <w:t>1254</w:t>
            </w:r>
          </w:p>
        </w:tc>
        <w:tc>
          <w:tcPr>
            <w:tcW w:w="400" w:type="dxa"/>
            <w:tcBorders>
              <w:top w:val="nil"/>
              <w:left w:val="nil"/>
              <w:bottom w:val="nil"/>
              <w:right w:val="nil"/>
            </w:tcBorders>
            <w:shd w:val="clear" w:color="auto" w:fill="auto"/>
            <w:noWrap/>
            <w:vAlign w:val="bottom"/>
            <w:hideMark/>
          </w:tcPr>
          <w:p w:rsidR="00046199" w:rsidRPr="00BB10D7" w:rsidRDefault="00046199" w:rsidP="002A3204">
            <w:pPr>
              <w:rPr>
                <w:rFonts w:eastAsia="Times New Roman"/>
                <w:color w:val="000000"/>
                <w:sz w:val="20"/>
                <w:szCs w:val="20"/>
                <w:lang w:eastAsia="en-GB"/>
              </w:rPr>
            </w:pPr>
          </w:p>
        </w:tc>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046199" w:rsidRPr="00BB10D7" w:rsidRDefault="00046199" w:rsidP="002A3204">
            <w:pPr>
              <w:rPr>
                <w:rFonts w:eastAsia="Times New Roman"/>
                <w:b/>
                <w:bCs/>
                <w:color w:val="000000"/>
                <w:sz w:val="20"/>
                <w:szCs w:val="20"/>
                <w:lang w:eastAsia="en-GB"/>
              </w:rPr>
            </w:pPr>
            <w:r w:rsidRPr="00BB10D7">
              <w:rPr>
                <w:rFonts w:eastAsia="Times New Roman"/>
                <w:b/>
                <w:bCs/>
                <w:color w:val="000000"/>
                <w:sz w:val="20"/>
                <w:szCs w:val="20"/>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046199" w:rsidRPr="00BB10D7" w:rsidRDefault="00046199" w:rsidP="002A3204">
            <w:pPr>
              <w:jc w:val="center"/>
              <w:rPr>
                <w:rFonts w:eastAsia="Times New Roman"/>
                <w:b/>
                <w:bCs/>
                <w:color w:val="000000"/>
                <w:sz w:val="20"/>
                <w:szCs w:val="20"/>
                <w:lang w:eastAsia="en-GB"/>
              </w:rPr>
            </w:pPr>
            <w:r w:rsidRPr="00BB10D7">
              <w:rPr>
                <w:rFonts w:eastAsia="Times New Roman"/>
                <w:b/>
                <w:bCs/>
                <w:color w:val="000000"/>
                <w:sz w:val="20"/>
                <w:szCs w:val="20"/>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046199" w:rsidRPr="00BB10D7" w:rsidRDefault="00046199" w:rsidP="00046199">
            <w:pPr>
              <w:jc w:val="center"/>
              <w:rPr>
                <w:rFonts w:eastAsia="Times New Roman"/>
                <w:b/>
                <w:bCs/>
                <w:color w:val="000000"/>
                <w:sz w:val="20"/>
                <w:szCs w:val="20"/>
                <w:lang w:eastAsia="en-GB"/>
              </w:rPr>
            </w:pPr>
            <w:r w:rsidRPr="00BB10D7">
              <w:rPr>
                <w:rFonts w:eastAsia="Times New Roman"/>
                <w:b/>
                <w:bCs/>
                <w:color w:val="000000"/>
                <w:sz w:val="20"/>
                <w:szCs w:val="20"/>
                <w:lang w:eastAsia="en-GB"/>
              </w:rPr>
              <w:t>13</w:t>
            </w:r>
            <w:r>
              <w:rPr>
                <w:rFonts w:eastAsia="Times New Roman"/>
                <w:b/>
                <w:bCs/>
                <w:color w:val="000000"/>
                <w:sz w:val="20"/>
                <w:szCs w:val="20"/>
                <w:lang w:eastAsia="en-GB"/>
              </w:rPr>
              <w:t>12</w:t>
            </w:r>
          </w:p>
        </w:tc>
        <w:tc>
          <w:tcPr>
            <w:tcW w:w="400" w:type="dxa"/>
            <w:tcBorders>
              <w:top w:val="nil"/>
              <w:left w:val="nil"/>
              <w:bottom w:val="nil"/>
              <w:right w:val="nil"/>
            </w:tcBorders>
            <w:shd w:val="clear" w:color="auto" w:fill="auto"/>
            <w:noWrap/>
            <w:vAlign w:val="bottom"/>
            <w:hideMark/>
          </w:tcPr>
          <w:p w:rsidR="00046199" w:rsidRPr="00BB10D7" w:rsidRDefault="00046199" w:rsidP="002A3204">
            <w:pPr>
              <w:rPr>
                <w:rFonts w:eastAsia="Times New Roman"/>
                <w:color w:val="000000"/>
                <w:sz w:val="20"/>
                <w:szCs w:val="20"/>
                <w:lang w:eastAsia="en-GB"/>
              </w:rPr>
            </w:pPr>
          </w:p>
        </w:tc>
        <w:tc>
          <w:tcPr>
            <w:tcW w:w="1471" w:type="dxa"/>
            <w:tcBorders>
              <w:top w:val="nil"/>
              <w:left w:val="single" w:sz="8" w:space="0" w:color="auto"/>
              <w:bottom w:val="single" w:sz="8" w:space="0" w:color="auto"/>
              <w:right w:val="single" w:sz="8" w:space="0" w:color="auto"/>
            </w:tcBorders>
            <w:shd w:val="clear" w:color="000000" w:fill="DCE6F1"/>
            <w:noWrap/>
            <w:vAlign w:val="center"/>
            <w:hideMark/>
          </w:tcPr>
          <w:p w:rsidR="00046199" w:rsidRPr="00BB10D7" w:rsidRDefault="00046199" w:rsidP="002A3204">
            <w:pPr>
              <w:rPr>
                <w:rFonts w:eastAsia="Times New Roman"/>
                <w:b/>
                <w:bCs/>
                <w:color w:val="000000"/>
                <w:sz w:val="20"/>
                <w:szCs w:val="20"/>
                <w:lang w:eastAsia="en-GB"/>
              </w:rPr>
            </w:pPr>
            <w:r w:rsidRPr="00BB10D7">
              <w:rPr>
                <w:rFonts w:eastAsia="Times New Roman"/>
                <w:b/>
                <w:bCs/>
                <w:color w:val="000000"/>
                <w:sz w:val="20"/>
                <w:szCs w:val="20"/>
                <w:lang w:eastAsia="en-GB"/>
              </w:rPr>
              <w:t>Total</w:t>
            </w:r>
          </w:p>
        </w:tc>
        <w:tc>
          <w:tcPr>
            <w:tcW w:w="1510" w:type="dxa"/>
            <w:tcBorders>
              <w:top w:val="nil"/>
              <w:left w:val="nil"/>
              <w:bottom w:val="single" w:sz="8" w:space="0" w:color="auto"/>
              <w:right w:val="single" w:sz="8" w:space="0" w:color="auto"/>
            </w:tcBorders>
            <w:shd w:val="clear" w:color="000000" w:fill="DCE6F1"/>
            <w:noWrap/>
            <w:vAlign w:val="center"/>
            <w:hideMark/>
          </w:tcPr>
          <w:p w:rsidR="00046199" w:rsidRPr="00BB10D7" w:rsidRDefault="00046199" w:rsidP="002A3204">
            <w:pPr>
              <w:jc w:val="center"/>
              <w:rPr>
                <w:rFonts w:eastAsia="Times New Roman"/>
                <w:b/>
                <w:bCs/>
                <w:color w:val="000000"/>
                <w:sz w:val="20"/>
                <w:szCs w:val="20"/>
                <w:lang w:eastAsia="en-GB"/>
              </w:rPr>
            </w:pPr>
            <w:r w:rsidRPr="00BB10D7">
              <w:rPr>
                <w:rFonts w:eastAsia="Times New Roman"/>
                <w:b/>
                <w:bCs/>
                <w:color w:val="000000"/>
                <w:sz w:val="20"/>
                <w:szCs w:val="20"/>
                <w:lang w:eastAsia="en-GB"/>
              </w:rPr>
              <w:t>100%</w:t>
            </w:r>
          </w:p>
        </w:tc>
        <w:tc>
          <w:tcPr>
            <w:tcW w:w="1123" w:type="dxa"/>
            <w:tcBorders>
              <w:top w:val="nil"/>
              <w:left w:val="nil"/>
              <w:bottom w:val="single" w:sz="8" w:space="0" w:color="auto"/>
              <w:right w:val="single" w:sz="8" w:space="0" w:color="auto"/>
            </w:tcBorders>
            <w:shd w:val="clear" w:color="000000" w:fill="DCE6F1"/>
            <w:noWrap/>
            <w:vAlign w:val="center"/>
            <w:hideMark/>
          </w:tcPr>
          <w:p w:rsidR="00046199" w:rsidRPr="00BB10D7" w:rsidRDefault="00046199" w:rsidP="009E6EF5">
            <w:pPr>
              <w:jc w:val="center"/>
              <w:rPr>
                <w:rFonts w:eastAsia="Times New Roman"/>
                <w:b/>
                <w:bCs/>
                <w:color w:val="000000"/>
                <w:sz w:val="20"/>
                <w:szCs w:val="20"/>
                <w:lang w:eastAsia="en-GB"/>
              </w:rPr>
            </w:pPr>
            <w:r w:rsidRPr="00BB10D7">
              <w:rPr>
                <w:rFonts w:eastAsia="Times New Roman"/>
                <w:b/>
                <w:bCs/>
                <w:color w:val="000000"/>
                <w:sz w:val="20"/>
                <w:szCs w:val="20"/>
                <w:lang w:eastAsia="en-GB"/>
              </w:rPr>
              <w:t>13</w:t>
            </w:r>
            <w:r w:rsidR="009E6EF5">
              <w:rPr>
                <w:rFonts w:eastAsia="Times New Roman"/>
                <w:b/>
                <w:bCs/>
                <w:color w:val="000000"/>
                <w:sz w:val="20"/>
                <w:szCs w:val="20"/>
                <w:lang w:eastAsia="en-GB"/>
              </w:rPr>
              <w:t>29</w:t>
            </w:r>
          </w:p>
        </w:tc>
      </w:tr>
    </w:tbl>
    <w:p w:rsidR="00677071" w:rsidRDefault="00677071" w:rsidP="008A22C6">
      <w:pPr>
        <w:rPr>
          <w:b/>
          <w:sz w:val="22"/>
          <w:szCs w:val="22"/>
        </w:rPr>
      </w:pPr>
    </w:p>
    <w:p w:rsidR="00292EF0" w:rsidRPr="000540D8" w:rsidRDefault="004C2676" w:rsidP="008A22C6">
      <w:pPr>
        <w:rPr>
          <w:szCs w:val="22"/>
        </w:rPr>
      </w:pPr>
      <w:r w:rsidRPr="000540D8">
        <w:rPr>
          <w:b/>
          <w:szCs w:val="22"/>
        </w:rPr>
        <w:t xml:space="preserve">Commentary: </w:t>
      </w:r>
      <w:r w:rsidRPr="000540D8">
        <w:rPr>
          <w:szCs w:val="22"/>
        </w:rPr>
        <w:t xml:space="preserve">The number of staff in </w:t>
      </w:r>
      <w:r w:rsidR="00A41C58" w:rsidRPr="000540D8">
        <w:rPr>
          <w:szCs w:val="22"/>
        </w:rPr>
        <w:t>March 2018</w:t>
      </w:r>
      <w:r w:rsidR="00C24F25">
        <w:rPr>
          <w:szCs w:val="22"/>
        </w:rPr>
        <w:t xml:space="preserve"> </w:t>
      </w:r>
      <w:r w:rsidRPr="000540D8">
        <w:rPr>
          <w:szCs w:val="22"/>
        </w:rPr>
        <w:t>that reported they have a disability was 7.2</w:t>
      </w:r>
      <w:r w:rsidR="00E43B60">
        <w:rPr>
          <w:szCs w:val="22"/>
        </w:rPr>
        <w:t>2</w:t>
      </w:r>
      <w:r w:rsidRPr="000540D8">
        <w:rPr>
          <w:szCs w:val="22"/>
        </w:rPr>
        <w:t xml:space="preserve">%, which is the lowest level for 3 years. It should be noted, however, that the Council’s policies around attendance management and flexible working continue to offer support </w:t>
      </w:r>
      <w:r w:rsidR="00C24F25">
        <w:rPr>
          <w:szCs w:val="22"/>
        </w:rPr>
        <w:t xml:space="preserve">for staff </w:t>
      </w:r>
      <w:r w:rsidRPr="000540D8">
        <w:rPr>
          <w:szCs w:val="22"/>
        </w:rPr>
        <w:t>declaring a disability</w:t>
      </w:r>
      <w:r w:rsidR="00C24F25">
        <w:rPr>
          <w:szCs w:val="22"/>
        </w:rPr>
        <w:t>, along with an open culture that encourages staff to discuss this with their manager and HR Business Partner (HRBP)</w:t>
      </w:r>
      <w:r w:rsidRPr="000540D8">
        <w:rPr>
          <w:szCs w:val="22"/>
        </w:rPr>
        <w:t xml:space="preserve">. The Council has recently awarded its Employee Assistance Programme (EAP) and Occupational Health Service (OCS) contracts to new service providers (Health Assured and People Asset Management, respectively) who will </w:t>
      </w:r>
      <w:r w:rsidR="00A24DAD" w:rsidRPr="000540D8">
        <w:rPr>
          <w:szCs w:val="22"/>
        </w:rPr>
        <w:t xml:space="preserve">both </w:t>
      </w:r>
      <w:r w:rsidRPr="000540D8">
        <w:rPr>
          <w:szCs w:val="22"/>
        </w:rPr>
        <w:t xml:space="preserve">work </w:t>
      </w:r>
      <w:r w:rsidR="00C24F25">
        <w:rPr>
          <w:szCs w:val="22"/>
        </w:rPr>
        <w:t xml:space="preserve">in partnership </w:t>
      </w:r>
      <w:r w:rsidRPr="000540D8">
        <w:rPr>
          <w:szCs w:val="22"/>
        </w:rPr>
        <w:t xml:space="preserve">with </w:t>
      </w:r>
      <w:r w:rsidR="00C24F25">
        <w:rPr>
          <w:szCs w:val="22"/>
        </w:rPr>
        <w:t xml:space="preserve">the </w:t>
      </w:r>
      <w:r w:rsidRPr="000540D8">
        <w:rPr>
          <w:szCs w:val="22"/>
        </w:rPr>
        <w:t xml:space="preserve">Council to further </w:t>
      </w:r>
      <w:r w:rsidR="00C24F25">
        <w:rPr>
          <w:szCs w:val="22"/>
        </w:rPr>
        <w:t xml:space="preserve">support and </w:t>
      </w:r>
      <w:r w:rsidRPr="000540D8">
        <w:rPr>
          <w:szCs w:val="22"/>
        </w:rPr>
        <w:t xml:space="preserve">improve the </w:t>
      </w:r>
      <w:r w:rsidR="00C24F25">
        <w:rPr>
          <w:szCs w:val="22"/>
        </w:rPr>
        <w:t xml:space="preserve">services </w:t>
      </w:r>
      <w:r w:rsidRPr="000540D8">
        <w:rPr>
          <w:szCs w:val="22"/>
        </w:rPr>
        <w:t xml:space="preserve">provided to staff and managers alike. </w:t>
      </w:r>
      <w:r w:rsidR="00A24DAD" w:rsidRPr="000540D8">
        <w:rPr>
          <w:szCs w:val="22"/>
        </w:rPr>
        <w:t>In addition, t</w:t>
      </w:r>
      <w:r w:rsidRPr="000540D8">
        <w:rPr>
          <w:szCs w:val="22"/>
        </w:rPr>
        <w:t xml:space="preserve">he Council </w:t>
      </w:r>
      <w:r w:rsidR="00A24DAD" w:rsidRPr="000540D8">
        <w:rPr>
          <w:szCs w:val="22"/>
        </w:rPr>
        <w:t>received the</w:t>
      </w:r>
      <w:r w:rsidRPr="000540D8">
        <w:rPr>
          <w:szCs w:val="22"/>
        </w:rPr>
        <w:t xml:space="preserve"> </w:t>
      </w:r>
      <w:r w:rsidRPr="000540D8">
        <w:rPr>
          <w:i/>
          <w:szCs w:val="22"/>
        </w:rPr>
        <w:t>Disability Confident</w:t>
      </w:r>
      <w:r w:rsidRPr="000540D8">
        <w:rPr>
          <w:szCs w:val="22"/>
        </w:rPr>
        <w:t xml:space="preserve"> award</w:t>
      </w:r>
      <w:r w:rsidR="00A24DAD" w:rsidRPr="000540D8">
        <w:rPr>
          <w:szCs w:val="22"/>
        </w:rPr>
        <w:t xml:space="preserve"> last autumn from Job Centre Plus (</w:t>
      </w:r>
      <w:r w:rsidRPr="000540D8">
        <w:rPr>
          <w:szCs w:val="22"/>
        </w:rPr>
        <w:t>which replac</w:t>
      </w:r>
      <w:r w:rsidR="00A24DAD" w:rsidRPr="000540D8">
        <w:rPr>
          <w:szCs w:val="22"/>
        </w:rPr>
        <w:t xml:space="preserve">es the </w:t>
      </w:r>
      <w:r w:rsidR="00C24F25">
        <w:rPr>
          <w:szCs w:val="22"/>
        </w:rPr>
        <w:t>‘</w:t>
      </w:r>
      <w:r w:rsidR="00A24DAD" w:rsidRPr="000540D8">
        <w:rPr>
          <w:szCs w:val="22"/>
        </w:rPr>
        <w:t>Two Ticks</w:t>
      </w:r>
      <w:r w:rsidR="00C24F25">
        <w:rPr>
          <w:szCs w:val="22"/>
        </w:rPr>
        <w:t>’</w:t>
      </w:r>
      <w:r w:rsidR="00A24DAD" w:rsidRPr="000540D8">
        <w:rPr>
          <w:szCs w:val="22"/>
        </w:rPr>
        <w:t xml:space="preserve"> accreditation) and has recently commissioned an independent access audit, with the </w:t>
      </w:r>
      <w:r w:rsidR="002A3204" w:rsidRPr="000540D8">
        <w:rPr>
          <w:szCs w:val="22"/>
        </w:rPr>
        <w:t>aim of identifying areas of improvement for staff, Members and the general public using the Council’s offices and civic facilities.</w:t>
      </w:r>
    </w:p>
    <w:p w:rsidR="002A3204" w:rsidRPr="00DA02BE" w:rsidRDefault="002A3204" w:rsidP="008A22C6">
      <w:pPr>
        <w:rPr>
          <w:szCs w:val="22"/>
        </w:rPr>
      </w:pPr>
    </w:p>
    <w:p w:rsidR="002A3204" w:rsidRDefault="002A3204" w:rsidP="008A22C6">
      <w:pPr>
        <w:rPr>
          <w:sz w:val="22"/>
          <w:szCs w:val="22"/>
        </w:rPr>
      </w:pPr>
    </w:p>
    <w:p w:rsidR="002A3204" w:rsidRDefault="002A3204">
      <w:r>
        <w:br w:type="page"/>
      </w:r>
    </w:p>
    <w:p w:rsidR="00610B1A" w:rsidRDefault="00610B1A" w:rsidP="00610B1A">
      <w:pPr>
        <w:rPr>
          <w:b/>
          <w:szCs w:val="22"/>
        </w:rPr>
      </w:pPr>
      <w:r>
        <w:rPr>
          <w:b/>
          <w:szCs w:val="22"/>
        </w:rPr>
        <w:lastRenderedPageBreak/>
        <w:t>OXFORD GENERAL POPULATION DATA: SEXUAL ORIENTATION</w:t>
      </w:r>
    </w:p>
    <w:p w:rsidR="00610B1A" w:rsidRDefault="00610B1A" w:rsidP="00610B1A">
      <w:pPr>
        <w:rPr>
          <w:b/>
          <w:szCs w:val="22"/>
        </w:rPr>
      </w:pPr>
    </w:p>
    <w:p w:rsidR="00610B1A" w:rsidRDefault="00610B1A" w:rsidP="00610B1A">
      <w:pPr>
        <w:rPr>
          <w:b/>
          <w:szCs w:val="22"/>
        </w:rPr>
      </w:pPr>
      <w:r>
        <w:rPr>
          <w:noProof/>
          <w:lang w:eastAsia="en-GB"/>
        </w:rPr>
        <w:drawing>
          <wp:inline distT="0" distB="0" distL="0" distR="0" wp14:anchorId="7F0B5042" wp14:editId="7012E318">
            <wp:extent cx="7552706" cy="5189517"/>
            <wp:effectExtent l="0" t="0" r="1016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0B1A" w:rsidRDefault="00610B1A" w:rsidP="00610B1A">
      <w:pPr>
        <w:rPr>
          <w:b/>
          <w:szCs w:val="22"/>
        </w:rPr>
      </w:pPr>
    </w:p>
    <w:p w:rsidR="00610B1A" w:rsidRDefault="00610B1A" w:rsidP="00610B1A">
      <w:pPr>
        <w:rPr>
          <w:b/>
          <w:szCs w:val="22"/>
        </w:rPr>
      </w:pPr>
      <w:r>
        <w:rPr>
          <w:b/>
          <w:szCs w:val="22"/>
        </w:rPr>
        <w:lastRenderedPageBreak/>
        <w:t>WORKFORCE PROFILE (SEXUAL ORIENTATION)</w:t>
      </w:r>
    </w:p>
    <w:p w:rsidR="002A3204" w:rsidRDefault="002A3204" w:rsidP="008A22C6">
      <w:pPr>
        <w:rPr>
          <w:sz w:val="22"/>
          <w:szCs w:val="22"/>
        </w:rPr>
      </w:pPr>
    </w:p>
    <w:tbl>
      <w:tblPr>
        <w:tblW w:w="14190" w:type="dxa"/>
        <w:tblInd w:w="93" w:type="dxa"/>
        <w:tblLook w:val="04A0" w:firstRow="1" w:lastRow="0" w:firstColumn="1" w:lastColumn="0" w:noHBand="0" w:noVBand="1"/>
      </w:tblPr>
      <w:tblGrid>
        <w:gridCol w:w="2116"/>
        <w:gridCol w:w="1355"/>
        <w:gridCol w:w="1000"/>
        <w:gridCol w:w="282"/>
        <w:gridCol w:w="2195"/>
        <w:gridCol w:w="1334"/>
        <w:gridCol w:w="1066"/>
        <w:gridCol w:w="243"/>
        <w:gridCol w:w="2166"/>
        <w:gridCol w:w="1358"/>
        <w:gridCol w:w="1075"/>
      </w:tblGrid>
      <w:tr w:rsidR="00711CDA" w:rsidRPr="00D27E5B" w:rsidTr="00711CDA">
        <w:trPr>
          <w:trHeight w:val="315"/>
        </w:trPr>
        <w:tc>
          <w:tcPr>
            <w:tcW w:w="4471" w:type="dxa"/>
            <w:gridSpan w:val="3"/>
            <w:tcBorders>
              <w:top w:val="nil"/>
              <w:left w:val="nil"/>
              <w:bottom w:val="nil"/>
              <w:right w:val="nil"/>
            </w:tcBorders>
            <w:shd w:val="clear" w:color="auto" w:fill="auto"/>
            <w:noWrap/>
            <w:vAlign w:val="bottom"/>
            <w:hideMark/>
          </w:tcPr>
          <w:p w:rsidR="002A3204" w:rsidRPr="00A21AA8" w:rsidRDefault="002A3204" w:rsidP="002A3204">
            <w:pPr>
              <w:rPr>
                <w:rFonts w:eastAsia="Times New Roman"/>
                <w:b/>
                <w:bCs/>
                <w:color w:val="000000"/>
                <w:sz w:val="22"/>
                <w:szCs w:val="22"/>
                <w:lang w:eastAsia="en-GB"/>
              </w:rPr>
            </w:pPr>
            <w:r w:rsidRPr="00A21AA8">
              <w:rPr>
                <w:rFonts w:eastAsia="Times New Roman"/>
                <w:b/>
                <w:bCs/>
                <w:color w:val="000000"/>
                <w:sz w:val="22"/>
                <w:szCs w:val="22"/>
                <w:lang w:eastAsia="en-GB"/>
              </w:rPr>
              <w:t xml:space="preserve">As at </w:t>
            </w:r>
            <w:r w:rsidRPr="00CA74BC">
              <w:rPr>
                <w:rFonts w:eastAsia="Times New Roman"/>
                <w:b/>
                <w:bCs/>
                <w:color w:val="000000"/>
                <w:sz w:val="22"/>
                <w:szCs w:val="22"/>
                <w:lang w:eastAsia="en-GB"/>
              </w:rPr>
              <w:t>March 2016</w:t>
            </w:r>
          </w:p>
        </w:tc>
        <w:tc>
          <w:tcPr>
            <w:tcW w:w="282" w:type="dxa"/>
            <w:tcBorders>
              <w:top w:val="nil"/>
              <w:left w:val="nil"/>
              <w:bottom w:val="nil"/>
              <w:right w:val="nil"/>
            </w:tcBorders>
            <w:shd w:val="clear" w:color="auto" w:fill="auto"/>
            <w:noWrap/>
            <w:vAlign w:val="bottom"/>
            <w:hideMark/>
          </w:tcPr>
          <w:p w:rsidR="002A3204" w:rsidRPr="00A21AA8" w:rsidRDefault="002A3204" w:rsidP="002A3204">
            <w:pPr>
              <w:rPr>
                <w:rFonts w:eastAsia="Times New Roman"/>
                <w:color w:val="000000"/>
                <w:sz w:val="22"/>
                <w:szCs w:val="22"/>
                <w:lang w:eastAsia="en-GB"/>
              </w:rPr>
            </w:pPr>
          </w:p>
        </w:tc>
        <w:tc>
          <w:tcPr>
            <w:tcW w:w="4595" w:type="dxa"/>
            <w:gridSpan w:val="3"/>
            <w:tcBorders>
              <w:top w:val="nil"/>
              <w:left w:val="nil"/>
              <w:bottom w:val="nil"/>
              <w:right w:val="nil"/>
            </w:tcBorders>
            <w:shd w:val="clear" w:color="auto" w:fill="auto"/>
            <w:noWrap/>
            <w:vAlign w:val="bottom"/>
            <w:hideMark/>
          </w:tcPr>
          <w:p w:rsidR="002A3204" w:rsidRPr="00D27E5B" w:rsidRDefault="002A3204" w:rsidP="002A3204">
            <w:pPr>
              <w:rPr>
                <w:rFonts w:eastAsia="Times New Roman"/>
                <w:b/>
                <w:bCs/>
                <w:color w:val="000000"/>
                <w:sz w:val="22"/>
                <w:szCs w:val="22"/>
                <w:lang w:eastAsia="en-GB"/>
              </w:rPr>
            </w:pPr>
            <w:r w:rsidRPr="00CA74BC">
              <w:rPr>
                <w:rFonts w:eastAsia="Times New Roman"/>
                <w:b/>
                <w:bCs/>
                <w:color w:val="000000"/>
                <w:sz w:val="22"/>
                <w:szCs w:val="22"/>
                <w:lang w:eastAsia="en-GB"/>
              </w:rPr>
              <w:t>As at 31 March 2017</w:t>
            </w:r>
          </w:p>
        </w:tc>
        <w:tc>
          <w:tcPr>
            <w:tcW w:w="243" w:type="dxa"/>
            <w:tcBorders>
              <w:top w:val="nil"/>
              <w:left w:val="nil"/>
              <w:bottom w:val="nil"/>
              <w:right w:val="nil"/>
            </w:tcBorders>
            <w:shd w:val="clear" w:color="auto" w:fill="auto"/>
            <w:noWrap/>
            <w:vAlign w:val="bottom"/>
            <w:hideMark/>
          </w:tcPr>
          <w:p w:rsidR="002A3204" w:rsidRPr="00A21AA8" w:rsidRDefault="002A3204" w:rsidP="002A3204">
            <w:pPr>
              <w:rPr>
                <w:rFonts w:eastAsia="Times New Roman"/>
                <w:color w:val="000000"/>
                <w:sz w:val="22"/>
                <w:szCs w:val="22"/>
                <w:lang w:eastAsia="en-GB"/>
              </w:rPr>
            </w:pPr>
          </w:p>
        </w:tc>
        <w:tc>
          <w:tcPr>
            <w:tcW w:w="4599" w:type="dxa"/>
            <w:gridSpan w:val="3"/>
            <w:tcBorders>
              <w:top w:val="nil"/>
              <w:left w:val="nil"/>
              <w:bottom w:val="nil"/>
              <w:right w:val="nil"/>
            </w:tcBorders>
            <w:shd w:val="clear" w:color="auto" w:fill="auto"/>
            <w:noWrap/>
            <w:vAlign w:val="bottom"/>
            <w:hideMark/>
          </w:tcPr>
          <w:p w:rsidR="002A3204" w:rsidRPr="00D27E5B" w:rsidRDefault="002A3204" w:rsidP="002A3204">
            <w:pPr>
              <w:rPr>
                <w:rFonts w:eastAsia="Times New Roman"/>
                <w:b/>
                <w:bCs/>
                <w:color w:val="000000"/>
                <w:sz w:val="22"/>
                <w:szCs w:val="22"/>
                <w:lang w:eastAsia="en-GB"/>
              </w:rPr>
            </w:pPr>
            <w:r w:rsidRPr="00CA74BC">
              <w:rPr>
                <w:rFonts w:eastAsia="Times New Roman"/>
                <w:b/>
                <w:bCs/>
                <w:color w:val="000000"/>
                <w:sz w:val="22"/>
                <w:szCs w:val="22"/>
                <w:lang w:eastAsia="en-GB"/>
              </w:rPr>
              <w:t>As at 31 March 2018</w:t>
            </w:r>
          </w:p>
        </w:tc>
      </w:tr>
      <w:tr w:rsidR="00711CDA" w:rsidRPr="00A21AA8" w:rsidTr="00711CDA">
        <w:trPr>
          <w:trHeight w:val="315"/>
        </w:trPr>
        <w:tc>
          <w:tcPr>
            <w:tcW w:w="2116" w:type="dxa"/>
            <w:tcBorders>
              <w:top w:val="nil"/>
              <w:left w:val="nil"/>
              <w:bottom w:val="nil"/>
              <w:right w:val="nil"/>
            </w:tcBorders>
            <w:shd w:val="clear" w:color="auto" w:fill="auto"/>
            <w:noWrap/>
            <w:vAlign w:val="bottom"/>
            <w:hideMark/>
          </w:tcPr>
          <w:p w:rsidR="002A3204" w:rsidRPr="00A21AA8" w:rsidRDefault="002A3204" w:rsidP="002A3204">
            <w:pPr>
              <w:rPr>
                <w:rFonts w:eastAsia="Times New Roman"/>
                <w:color w:val="000000"/>
                <w:sz w:val="22"/>
                <w:szCs w:val="22"/>
                <w:lang w:eastAsia="en-GB"/>
              </w:rPr>
            </w:pPr>
          </w:p>
        </w:tc>
        <w:tc>
          <w:tcPr>
            <w:tcW w:w="1355" w:type="dxa"/>
            <w:tcBorders>
              <w:top w:val="nil"/>
              <w:left w:val="nil"/>
              <w:bottom w:val="nil"/>
              <w:right w:val="nil"/>
            </w:tcBorders>
            <w:shd w:val="clear" w:color="auto" w:fill="auto"/>
            <w:noWrap/>
            <w:vAlign w:val="bottom"/>
            <w:hideMark/>
          </w:tcPr>
          <w:p w:rsidR="002A3204" w:rsidRPr="00A21AA8" w:rsidRDefault="002A3204" w:rsidP="002A3204">
            <w:pPr>
              <w:jc w:val="center"/>
              <w:rPr>
                <w:rFonts w:eastAsia="Times New Roman"/>
                <w:color w:val="000000"/>
                <w:sz w:val="22"/>
                <w:szCs w:val="22"/>
                <w:lang w:eastAsia="en-GB"/>
              </w:rPr>
            </w:pPr>
          </w:p>
        </w:tc>
        <w:tc>
          <w:tcPr>
            <w:tcW w:w="1000" w:type="dxa"/>
            <w:tcBorders>
              <w:top w:val="nil"/>
              <w:left w:val="nil"/>
              <w:bottom w:val="nil"/>
              <w:right w:val="nil"/>
            </w:tcBorders>
            <w:shd w:val="clear" w:color="auto" w:fill="auto"/>
            <w:noWrap/>
            <w:vAlign w:val="bottom"/>
            <w:hideMark/>
          </w:tcPr>
          <w:p w:rsidR="002A3204" w:rsidRPr="00A21AA8" w:rsidRDefault="002A3204" w:rsidP="002A3204">
            <w:pPr>
              <w:jc w:val="center"/>
              <w:rPr>
                <w:rFonts w:eastAsia="Times New Roman"/>
                <w:color w:val="000000"/>
                <w:sz w:val="22"/>
                <w:szCs w:val="22"/>
                <w:lang w:eastAsia="en-GB"/>
              </w:rPr>
            </w:pPr>
          </w:p>
        </w:tc>
        <w:tc>
          <w:tcPr>
            <w:tcW w:w="282" w:type="dxa"/>
            <w:tcBorders>
              <w:top w:val="nil"/>
              <w:left w:val="nil"/>
              <w:bottom w:val="nil"/>
              <w:right w:val="nil"/>
            </w:tcBorders>
            <w:shd w:val="clear" w:color="auto" w:fill="auto"/>
            <w:noWrap/>
            <w:vAlign w:val="bottom"/>
            <w:hideMark/>
          </w:tcPr>
          <w:p w:rsidR="002A3204" w:rsidRPr="00A21AA8" w:rsidRDefault="002A3204" w:rsidP="002A3204">
            <w:pPr>
              <w:rPr>
                <w:rFonts w:eastAsia="Times New Roman"/>
                <w:color w:val="000000"/>
                <w:sz w:val="22"/>
                <w:szCs w:val="22"/>
                <w:lang w:eastAsia="en-GB"/>
              </w:rPr>
            </w:pPr>
          </w:p>
        </w:tc>
        <w:tc>
          <w:tcPr>
            <w:tcW w:w="2195" w:type="dxa"/>
            <w:tcBorders>
              <w:top w:val="nil"/>
              <w:left w:val="nil"/>
              <w:bottom w:val="nil"/>
              <w:right w:val="nil"/>
            </w:tcBorders>
            <w:shd w:val="clear" w:color="auto" w:fill="auto"/>
            <w:noWrap/>
            <w:vAlign w:val="bottom"/>
            <w:hideMark/>
          </w:tcPr>
          <w:p w:rsidR="002A3204" w:rsidRPr="00A21AA8" w:rsidRDefault="002A3204" w:rsidP="002A3204">
            <w:pPr>
              <w:rPr>
                <w:rFonts w:eastAsia="Times New Roman"/>
                <w:color w:val="000000"/>
                <w:sz w:val="22"/>
                <w:szCs w:val="22"/>
                <w:lang w:eastAsia="en-GB"/>
              </w:rPr>
            </w:pPr>
          </w:p>
        </w:tc>
        <w:tc>
          <w:tcPr>
            <w:tcW w:w="1334" w:type="dxa"/>
            <w:tcBorders>
              <w:top w:val="nil"/>
              <w:left w:val="nil"/>
              <w:bottom w:val="nil"/>
              <w:right w:val="nil"/>
            </w:tcBorders>
            <w:shd w:val="clear" w:color="auto" w:fill="auto"/>
            <w:noWrap/>
            <w:vAlign w:val="bottom"/>
            <w:hideMark/>
          </w:tcPr>
          <w:p w:rsidR="002A3204" w:rsidRPr="00A21AA8" w:rsidRDefault="002A3204" w:rsidP="002A3204">
            <w:pPr>
              <w:jc w:val="center"/>
              <w:rPr>
                <w:rFonts w:eastAsia="Times New Roman"/>
                <w:color w:val="000000"/>
                <w:sz w:val="22"/>
                <w:szCs w:val="22"/>
                <w:lang w:eastAsia="en-GB"/>
              </w:rPr>
            </w:pPr>
          </w:p>
        </w:tc>
        <w:tc>
          <w:tcPr>
            <w:tcW w:w="1066" w:type="dxa"/>
            <w:tcBorders>
              <w:top w:val="nil"/>
              <w:left w:val="nil"/>
              <w:bottom w:val="nil"/>
              <w:right w:val="nil"/>
            </w:tcBorders>
            <w:shd w:val="clear" w:color="auto" w:fill="auto"/>
            <w:noWrap/>
            <w:vAlign w:val="bottom"/>
            <w:hideMark/>
          </w:tcPr>
          <w:p w:rsidR="002A3204" w:rsidRPr="00A21AA8" w:rsidRDefault="002A3204" w:rsidP="002A3204">
            <w:pPr>
              <w:jc w:val="center"/>
              <w:rPr>
                <w:rFonts w:eastAsia="Times New Roman"/>
                <w:color w:val="000000"/>
                <w:sz w:val="22"/>
                <w:szCs w:val="22"/>
                <w:lang w:eastAsia="en-GB"/>
              </w:rPr>
            </w:pPr>
          </w:p>
        </w:tc>
        <w:tc>
          <w:tcPr>
            <w:tcW w:w="243" w:type="dxa"/>
            <w:tcBorders>
              <w:top w:val="nil"/>
              <w:left w:val="nil"/>
              <w:bottom w:val="nil"/>
              <w:right w:val="nil"/>
            </w:tcBorders>
            <w:shd w:val="clear" w:color="auto" w:fill="auto"/>
            <w:noWrap/>
            <w:vAlign w:val="bottom"/>
            <w:hideMark/>
          </w:tcPr>
          <w:p w:rsidR="002A3204" w:rsidRPr="00A21AA8" w:rsidRDefault="002A3204" w:rsidP="002A3204">
            <w:pPr>
              <w:rPr>
                <w:rFonts w:eastAsia="Times New Roman"/>
                <w:color w:val="000000"/>
                <w:sz w:val="22"/>
                <w:szCs w:val="22"/>
                <w:lang w:eastAsia="en-GB"/>
              </w:rPr>
            </w:pPr>
          </w:p>
        </w:tc>
        <w:tc>
          <w:tcPr>
            <w:tcW w:w="2166" w:type="dxa"/>
            <w:tcBorders>
              <w:top w:val="nil"/>
              <w:left w:val="nil"/>
              <w:bottom w:val="nil"/>
              <w:right w:val="nil"/>
            </w:tcBorders>
            <w:shd w:val="clear" w:color="auto" w:fill="auto"/>
            <w:noWrap/>
            <w:vAlign w:val="bottom"/>
            <w:hideMark/>
          </w:tcPr>
          <w:p w:rsidR="002A3204" w:rsidRPr="00A21AA8" w:rsidRDefault="002A3204" w:rsidP="002A3204">
            <w:pPr>
              <w:rPr>
                <w:rFonts w:eastAsia="Times New Roman"/>
                <w:color w:val="000000"/>
                <w:sz w:val="22"/>
                <w:szCs w:val="22"/>
                <w:lang w:eastAsia="en-GB"/>
              </w:rPr>
            </w:pPr>
          </w:p>
        </w:tc>
        <w:tc>
          <w:tcPr>
            <w:tcW w:w="1358" w:type="dxa"/>
            <w:tcBorders>
              <w:top w:val="nil"/>
              <w:left w:val="nil"/>
              <w:bottom w:val="nil"/>
              <w:right w:val="nil"/>
            </w:tcBorders>
            <w:shd w:val="clear" w:color="auto" w:fill="auto"/>
            <w:noWrap/>
            <w:vAlign w:val="bottom"/>
            <w:hideMark/>
          </w:tcPr>
          <w:p w:rsidR="002A3204" w:rsidRPr="00A21AA8" w:rsidRDefault="002A3204" w:rsidP="002A3204">
            <w:pPr>
              <w:jc w:val="center"/>
              <w:rPr>
                <w:rFonts w:eastAsia="Times New Roman"/>
                <w:color w:val="000000"/>
                <w:sz w:val="22"/>
                <w:szCs w:val="22"/>
                <w:lang w:eastAsia="en-GB"/>
              </w:rPr>
            </w:pPr>
          </w:p>
        </w:tc>
        <w:tc>
          <w:tcPr>
            <w:tcW w:w="1075" w:type="dxa"/>
            <w:tcBorders>
              <w:top w:val="nil"/>
              <w:left w:val="nil"/>
              <w:bottom w:val="nil"/>
              <w:right w:val="nil"/>
            </w:tcBorders>
            <w:shd w:val="clear" w:color="auto" w:fill="auto"/>
            <w:noWrap/>
            <w:vAlign w:val="bottom"/>
            <w:hideMark/>
          </w:tcPr>
          <w:p w:rsidR="002A3204" w:rsidRPr="00A21AA8" w:rsidRDefault="002A3204" w:rsidP="002A3204">
            <w:pPr>
              <w:jc w:val="center"/>
              <w:rPr>
                <w:rFonts w:eastAsia="Times New Roman"/>
                <w:color w:val="000000"/>
                <w:sz w:val="22"/>
                <w:szCs w:val="22"/>
                <w:lang w:eastAsia="en-GB"/>
              </w:rPr>
            </w:pPr>
          </w:p>
        </w:tc>
      </w:tr>
      <w:tr w:rsidR="00711CDA" w:rsidRPr="00A21AA8" w:rsidTr="00711CDA">
        <w:trPr>
          <w:trHeight w:val="315"/>
        </w:trPr>
        <w:tc>
          <w:tcPr>
            <w:tcW w:w="211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11CDA" w:rsidRPr="00711CDA" w:rsidRDefault="00711CDA" w:rsidP="004D67AD">
            <w:pPr>
              <w:rPr>
                <w:rFonts w:eastAsia="Times New Roman"/>
                <w:b/>
                <w:bCs/>
                <w:color w:val="000000"/>
                <w:sz w:val="20"/>
                <w:szCs w:val="20"/>
                <w:lang w:eastAsia="en-GB"/>
              </w:rPr>
            </w:pPr>
            <w:r w:rsidRPr="00711CDA">
              <w:rPr>
                <w:rFonts w:eastAsia="Times New Roman"/>
                <w:b/>
                <w:bCs/>
                <w:color w:val="000000"/>
                <w:sz w:val="20"/>
                <w:szCs w:val="20"/>
                <w:lang w:eastAsia="en-GB"/>
              </w:rPr>
              <w:t>Sexual Orientation</w:t>
            </w:r>
          </w:p>
        </w:tc>
        <w:tc>
          <w:tcPr>
            <w:tcW w:w="1355" w:type="dxa"/>
            <w:tcBorders>
              <w:top w:val="single" w:sz="8" w:space="0" w:color="auto"/>
              <w:left w:val="nil"/>
              <w:bottom w:val="single" w:sz="8" w:space="0" w:color="auto"/>
              <w:right w:val="single" w:sz="8" w:space="0" w:color="auto"/>
            </w:tcBorders>
            <w:shd w:val="clear" w:color="000000" w:fill="DCE6F1"/>
            <w:noWrap/>
            <w:vAlign w:val="center"/>
            <w:hideMark/>
          </w:tcPr>
          <w:p w:rsidR="00711CDA" w:rsidRPr="00711CDA" w:rsidRDefault="00711CDA" w:rsidP="002A3204">
            <w:pPr>
              <w:jc w:val="center"/>
              <w:rPr>
                <w:rFonts w:eastAsia="Times New Roman"/>
                <w:b/>
                <w:bCs/>
                <w:color w:val="000000"/>
                <w:sz w:val="20"/>
                <w:szCs w:val="20"/>
                <w:lang w:eastAsia="en-GB"/>
              </w:rPr>
            </w:pPr>
            <w:r w:rsidRPr="00711CDA">
              <w:rPr>
                <w:rFonts w:eastAsia="Times New Roman"/>
                <w:b/>
                <w:bCs/>
                <w:color w:val="000000"/>
                <w:sz w:val="20"/>
                <w:szCs w:val="20"/>
                <w:lang w:eastAsia="en-GB"/>
              </w:rPr>
              <w:t>Percentage</w:t>
            </w:r>
          </w:p>
        </w:tc>
        <w:tc>
          <w:tcPr>
            <w:tcW w:w="1000" w:type="dxa"/>
            <w:tcBorders>
              <w:top w:val="single" w:sz="8" w:space="0" w:color="auto"/>
              <w:left w:val="nil"/>
              <w:bottom w:val="single" w:sz="8" w:space="0" w:color="auto"/>
              <w:right w:val="single" w:sz="8" w:space="0" w:color="auto"/>
            </w:tcBorders>
            <w:shd w:val="clear" w:color="000000" w:fill="DCE6F1"/>
            <w:noWrap/>
            <w:vAlign w:val="center"/>
            <w:hideMark/>
          </w:tcPr>
          <w:p w:rsidR="00711CDA" w:rsidRPr="00711CDA" w:rsidRDefault="00711CDA" w:rsidP="002A3204">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82" w:type="dxa"/>
            <w:tcBorders>
              <w:top w:val="nil"/>
              <w:left w:val="nil"/>
              <w:bottom w:val="nil"/>
              <w:right w:val="nil"/>
            </w:tcBorders>
            <w:shd w:val="clear" w:color="auto" w:fill="auto"/>
            <w:noWrap/>
            <w:vAlign w:val="bottom"/>
            <w:hideMark/>
          </w:tcPr>
          <w:p w:rsidR="00711CDA" w:rsidRPr="00711CDA" w:rsidRDefault="00711CDA" w:rsidP="002A3204">
            <w:pPr>
              <w:rPr>
                <w:rFonts w:eastAsia="Times New Roman"/>
                <w:color w:val="000000"/>
                <w:sz w:val="20"/>
                <w:szCs w:val="20"/>
                <w:lang w:eastAsia="en-GB"/>
              </w:rPr>
            </w:pPr>
          </w:p>
        </w:tc>
        <w:tc>
          <w:tcPr>
            <w:tcW w:w="2195"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11CDA" w:rsidRPr="00711CDA" w:rsidRDefault="00711CDA" w:rsidP="004D67AD">
            <w:pPr>
              <w:rPr>
                <w:rFonts w:eastAsia="Times New Roman"/>
                <w:b/>
                <w:bCs/>
                <w:color w:val="000000"/>
                <w:sz w:val="20"/>
                <w:szCs w:val="20"/>
                <w:lang w:eastAsia="en-GB"/>
              </w:rPr>
            </w:pPr>
            <w:r w:rsidRPr="00711CDA">
              <w:rPr>
                <w:rFonts w:eastAsia="Times New Roman"/>
                <w:b/>
                <w:bCs/>
                <w:color w:val="000000"/>
                <w:sz w:val="20"/>
                <w:szCs w:val="20"/>
                <w:lang w:eastAsia="en-GB"/>
              </w:rPr>
              <w:t>Sexual Orientation</w:t>
            </w:r>
          </w:p>
        </w:tc>
        <w:tc>
          <w:tcPr>
            <w:tcW w:w="1334" w:type="dxa"/>
            <w:tcBorders>
              <w:top w:val="single" w:sz="8" w:space="0" w:color="auto"/>
              <w:left w:val="nil"/>
              <w:bottom w:val="single" w:sz="8" w:space="0" w:color="auto"/>
              <w:right w:val="single" w:sz="8" w:space="0" w:color="auto"/>
            </w:tcBorders>
            <w:shd w:val="clear" w:color="000000" w:fill="DCE6F1"/>
            <w:noWrap/>
            <w:vAlign w:val="center"/>
            <w:hideMark/>
          </w:tcPr>
          <w:p w:rsidR="00711CDA" w:rsidRPr="00711CDA" w:rsidRDefault="00711CDA" w:rsidP="002A3204">
            <w:pPr>
              <w:jc w:val="center"/>
              <w:rPr>
                <w:rFonts w:eastAsia="Times New Roman"/>
                <w:b/>
                <w:bCs/>
                <w:color w:val="000000"/>
                <w:sz w:val="20"/>
                <w:szCs w:val="20"/>
                <w:lang w:eastAsia="en-GB"/>
              </w:rPr>
            </w:pPr>
            <w:r w:rsidRPr="00711CDA">
              <w:rPr>
                <w:rFonts w:eastAsia="Times New Roman"/>
                <w:b/>
                <w:bCs/>
                <w:color w:val="000000"/>
                <w:sz w:val="20"/>
                <w:szCs w:val="20"/>
                <w:lang w:eastAsia="en-GB"/>
              </w:rPr>
              <w:t>Percentage</w:t>
            </w:r>
          </w:p>
        </w:tc>
        <w:tc>
          <w:tcPr>
            <w:tcW w:w="1066" w:type="dxa"/>
            <w:tcBorders>
              <w:top w:val="single" w:sz="8" w:space="0" w:color="auto"/>
              <w:left w:val="nil"/>
              <w:bottom w:val="single" w:sz="8" w:space="0" w:color="auto"/>
              <w:right w:val="single" w:sz="8" w:space="0" w:color="auto"/>
            </w:tcBorders>
            <w:shd w:val="clear" w:color="000000" w:fill="DCE6F1"/>
            <w:noWrap/>
            <w:vAlign w:val="center"/>
            <w:hideMark/>
          </w:tcPr>
          <w:p w:rsidR="00711CDA" w:rsidRPr="00711CDA" w:rsidRDefault="00711CDA" w:rsidP="002A3204">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43" w:type="dxa"/>
            <w:tcBorders>
              <w:top w:val="nil"/>
              <w:left w:val="nil"/>
              <w:bottom w:val="nil"/>
              <w:right w:val="nil"/>
            </w:tcBorders>
            <w:shd w:val="clear" w:color="auto" w:fill="auto"/>
            <w:noWrap/>
            <w:vAlign w:val="bottom"/>
            <w:hideMark/>
          </w:tcPr>
          <w:p w:rsidR="00711CDA" w:rsidRPr="00711CDA" w:rsidRDefault="00711CDA" w:rsidP="002A3204">
            <w:pPr>
              <w:rPr>
                <w:rFonts w:eastAsia="Times New Roman"/>
                <w:color w:val="000000"/>
                <w:sz w:val="20"/>
                <w:szCs w:val="20"/>
                <w:lang w:eastAsia="en-GB"/>
              </w:rPr>
            </w:pPr>
          </w:p>
        </w:tc>
        <w:tc>
          <w:tcPr>
            <w:tcW w:w="21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11CDA" w:rsidRPr="00711CDA" w:rsidRDefault="00711CDA" w:rsidP="004D67AD">
            <w:pPr>
              <w:rPr>
                <w:rFonts w:eastAsia="Times New Roman"/>
                <w:b/>
                <w:bCs/>
                <w:color w:val="000000"/>
                <w:sz w:val="20"/>
                <w:szCs w:val="20"/>
                <w:lang w:eastAsia="en-GB"/>
              </w:rPr>
            </w:pPr>
            <w:r w:rsidRPr="00711CDA">
              <w:rPr>
                <w:rFonts w:eastAsia="Times New Roman"/>
                <w:b/>
                <w:bCs/>
                <w:color w:val="000000"/>
                <w:sz w:val="20"/>
                <w:szCs w:val="20"/>
                <w:lang w:eastAsia="en-GB"/>
              </w:rPr>
              <w:t>Sexual Orientation</w:t>
            </w:r>
          </w:p>
        </w:tc>
        <w:tc>
          <w:tcPr>
            <w:tcW w:w="1358" w:type="dxa"/>
            <w:tcBorders>
              <w:top w:val="single" w:sz="8" w:space="0" w:color="auto"/>
              <w:left w:val="nil"/>
              <w:bottom w:val="single" w:sz="8" w:space="0" w:color="auto"/>
              <w:right w:val="single" w:sz="8" w:space="0" w:color="auto"/>
            </w:tcBorders>
            <w:shd w:val="clear" w:color="000000" w:fill="DCE6F1"/>
            <w:noWrap/>
            <w:vAlign w:val="center"/>
            <w:hideMark/>
          </w:tcPr>
          <w:p w:rsidR="00711CDA" w:rsidRPr="00711CDA" w:rsidRDefault="00711CDA" w:rsidP="002A3204">
            <w:pPr>
              <w:jc w:val="center"/>
              <w:rPr>
                <w:rFonts w:eastAsia="Times New Roman"/>
                <w:b/>
                <w:bCs/>
                <w:color w:val="000000"/>
                <w:sz w:val="20"/>
                <w:szCs w:val="20"/>
                <w:lang w:eastAsia="en-GB"/>
              </w:rPr>
            </w:pPr>
            <w:r w:rsidRPr="00711CDA">
              <w:rPr>
                <w:rFonts w:eastAsia="Times New Roman"/>
                <w:b/>
                <w:bCs/>
                <w:color w:val="000000"/>
                <w:sz w:val="20"/>
                <w:szCs w:val="20"/>
                <w:lang w:eastAsia="en-GB"/>
              </w:rPr>
              <w:t>Percentage</w:t>
            </w:r>
          </w:p>
        </w:tc>
        <w:tc>
          <w:tcPr>
            <w:tcW w:w="1075" w:type="dxa"/>
            <w:tcBorders>
              <w:top w:val="single" w:sz="8" w:space="0" w:color="auto"/>
              <w:left w:val="nil"/>
              <w:bottom w:val="single" w:sz="8" w:space="0" w:color="auto"/>
              <w:right w:val="single" w:sz="8" w:space="0" w:color="auto"/>
            </w:tcBorders>
            <w:shd w:val="clear" w:color="000000" w:fill="DCE6F1"/>
            <w:noWrap/>
            <w:vAlign w:val="center"/>
            <w:hideMark/>
          </w:tcPr>
          <w:p w:rsidR="00711CDA" w:rsidRPr="00711CDA" w:rsidRDefault="00711CDA" w:rsidP="002A3204">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r>
      <w:tr w:rsidR="003860B3" w:rsidRPr="00A21AA8" w:rsidTr="00711CDA">
        <w:trPr>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Bisexual</w:t>
            </w:r>
          </w:p>
        </w:tc>
        <w:tc>
          <w:tcPr>
            <w:tcW w:w="1355"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0.16</w:t>
            </w:r>
          </w:p>
        </w:tc>
        <w:tc>
          <w:tcPr>
            <w:tcW w:w="1000"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2</w:t>
            </w:r>
          </w:p>
        </w:tc>
        <w:tc>
          <w:tcPr>
            <w:tcW w:w="282"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Bisexual</w:t>
            </w:r>
          </w:p>
        </w:tc>
        <w:tc>
          <w:tcPr>
            <w:tcW w:w="1334"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0.23</w:t>
            </w:r>
          </w:p>
        </w:tc>
        <w:tc>
          <w:tcPr>
            <w:tcW w:w="1066"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3</w:t>
            </w:r>
          </w:p>
        </w:tc>
        <w:tc>
          <w:tcPr>
            <w:tcW w:w="243"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Bisexual</w:t>
            </w:r>
          </w:p>
        </w:tc>
        <w:tc>
          <w:tcPr>
            <w:tcW w:w="1358"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0.30</w:t>
            </w:r>
          </w:p>
        </w:tc>
        <w:tc>
          <w:tcPr>
            <w:tcW w:w="1075"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4</w:t>
            </w:r>
          </w:p>
        </w:tc>
      </w:tr>
      <w:tr w:rsidR="003860B3" w:rsidRPr="00A21AA8" w:rsidTr="00711CDA">
        <w:trPr>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Gay man</w:t>
            </w:r>
          </w:p>
        </w:tc>
        <w:tc>
          <w:tcPr>
            <w:tcW w:w="1355"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0.48</w:t>
            </w:r>
          </w:p>
        </w:tc>
        <w:tc>
          <w:tcPr>
            <w:tcW w:w="1000"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6</w:t>
            </w:r>
          </w:p>
        </w:tc>
        <w:tc>
          <w:tcPr>
            <w:tcW w:w="282"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Gay man</w:t>
            </w:r>
          </w:p>
        </w:tc>
        <w:tc>
          <w:tcPr>
            <w:tcW w:w="1334"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0.46</w:t>
            </w:r>
          </w:p>
        </w:tc>
        <w:tc>
          <w:tcPr>
            <w:tcW w:w="1066"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6</w:t>
            </w:r>
          </w:p>
        </w:tc>
        <w:tc>
          <w:tcPr>
            <w:tcW w:w="243"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Gay man</w:t>
            </w:r>
          </w:p>
        </w:tc>
        <w:tc>
          <w:tcPr>
            <w:tcW w:w="1358"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0.60</w:t>
            </w:r>
          </w:p>
        </w:tc>
        <w:tc>
          <w:tcPr>
            <w:tcW w:w="1075"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8</w:t>
            </w:r>
          </w:p>
        </w:tc>
      </w:tr>
      <w:tr w:rsidR="003860B3" w:rsidRPr="00A21AA8" w:rsidTr="00711CDA">
        <w:trPr>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Gay woman/lesbian</w:t>
            </w:r>
          </w:p>
        </w:tc>
        <w:tc>
          <w:tcPr>
            <w:tcW w:w="1355"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0.40</w:t>
            </w:r>
          </w:p>
        </w:tc>
        <w:tc>
          <w:tcPr>
            <w:tcW w:w="1000"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5</w:t>
            </w:r>
          </w:p>
        </w:tc>
        <w:tc>
          <w:tcPr>
            <w:tcW w:w="282"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Gay woman/lesbian</w:t>
            </w:r>
          </w:p>
        </w:tc>
        <w:tc>
          <w:tcPr>
            <w:tcW w:w="1334"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0.46</w:t>
            </w:r>
          </w:p>
        </w:tc>
        <w:tc>
          <w:tcPr>
            <w:tcW w:w="1066"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6</w:t>
            </w:r>
          </w:p>
        </w:tc>
        <w:tc>
          <w:tcPr>
            <w:tcW w:w="243"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Gay woman/lesbian</w:t>
            </w:r>
          </w:p>
        </w:tc>
        <w:tc>
          <w:tcPr>
            <w:tcW w:w="1358"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0.68</w:t>
            </w:r>
          </w:p>
        </w:tc>
        <w:tc>
          <w:tcPr>
            <w:tcW w:w="1075"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9</w:t>
            </w:r>
          </w:p>
        </w:tc>
      </w:tr>
      <w:tr w:rsidR="003860B3" w:rsidRPr="00A21AA8" w:rsidTr="00711CDA">
        <w:trPr>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Heterosexual/straight</w:t>
            </w:r>
          </w:p>
        </w:tc>
        <w:tc>
          <w:tcPr>
            <w:tcW w:w="1355"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59.01</w:t>
            </w:r>
          </w:p>
        </w:tc>
        <w:tc>
          <w:tcPr>
            <w:tcW w:w="1000"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740</w:t>
            </w:r>
          </w:p>
        </w:tc>
        <w:tc>
          <w:tcPr>
            <w:tcW w:w="282"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Heterosexual/straight</w:t>
            </w:r>
          </w:p>
        </w:tc>
        <w:tc>
          <w:tcPr>
            <w:tcW w:w="1334"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62.27</w:t>
            </w:r>
          </w:p>
        </w:tc>
        <w:tc>
          <w:tcPr>
            <w:tcW w:w="1066"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817</w:t>
            </w:r>
          </w:p>
        </w:tc>
        <w:tc>
          <w:tcPr>
            <w:tcW w:w="243"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Heterosexual/straight</w:t>
            </w:r>
          </w:p>
        </w:tc>
        <w:tc>
          <w:tcPr>
            <w:tcW w:w="1358"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64.03</w:t>
            </w:r>
          </w:p>
        </w:tc>
        <w:tc>
          <w:tcPr>
            <w:tcW w:w="1075"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851</w:t>
            </w:r>
          </w:p>
        </w:tc>
      </w:tr>
      <w:tr w:rsidR="003860B3" w:rsidRPr="00A21AA8" w:rsidTr="00711CDA">
        <w:trPr>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Prefer not to say</w:t>
            </w:r>
          </w:p>
        </w:tc>
        <w:tc>
          <w:tcPr>
            <w:tcW w:w="1355"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5.90</w:t>
            </w:r>
          </w:p>
        </w:tc>
        <w:tc>
          <w:tcPr>
            <w:tcW w:w="1000"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74</w:t>
            </w:r>
          </w:p>
        </w:tc>
        <w:tc>
          <w:tcPr>
            <w:tcW w:w="282"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Prefer not to say</w:t>
            </w:r>
          </w:p>
        </w:tc>
        <w:tc>
          <w:tcPr>
            <w:tcW w:w="1334"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5.64</w:t>
            </w:r>
          </w:p>
        </w:tc>
        <w:tc>
          <w:tcPr>
            <w:tcW w:w="1066"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74</w:t>
            </w:r>
          </w:p>
        </w:tc>
        <w:tc>
          <w:tcPr>
            <w:tcW w:w="243"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Prefer not to say</w:t>
            </w:r>
          </w:p>
        </w:tc>
        <w:tc>
          <w:tcPr>
            <w:tcW w:w="1358"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5.64</w:t>
            </w:r>
          </w:p>
        </w:tc>
        <w:tc>
          <w:tcPr>
            <w:tcW w:w="1075"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75</w:t>
            </w:r>
          </w:p>
        </w:tc>
      </w:tr>
      <w:tr w:rsidR="003860B3" w:rsidRPr="00A21AA8" w:rsidTr="00711CDA">
        <w:trPr>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Not specified</w:t>
            </w:r>
          </w:p>
        </w:tc>
        <w:tc>
          <w:tcPr>
            <w:tcW w:w="1355"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34.05</w:t>
            </w:r>
          </w:p>
        </w:tc>
        <w:tc>
          <w:tcPr>
            <w:tcW w:w="1000" w:type="dxa"/>
            <w:tcBorders>
              <w:top w:val="nil"/>
              <w:left w:val="nil"/>
              <w:bottom w:val="single" w:sz="8" w:space="0" w:color="auto"/>
              <w:right w:val="single" w:sz="8" w:space="0" w:color="auto"/>
            </w:tcBorders>
            <w:shd w:val="clear" w:color="auto" w:fill="auto"/>
            <w:noWrap/>
            <w:vAlign w:val="center"/>
          </w:tcPr>
          <w:p w:rsidR="003860B3" w:rsidRPr="002A3204" w:rsidRDefault="003860B3" w:rsidP="004D67AD">
            <w:pPr>
              <w:jc w:val="center"/>
              <w:rPr>
                <w:rFonts w:eastAsia="Times New Roman"/>
                <w:color w:val="000000"/>
                <w:sz w:val="20"/>
                <w:szCs w:val="20"/>
                <w:lang w:eastAsia="en-GB"/>
              </w:rPr>
            </w:pPr>
            <w:r w:rsidRPr="002A3204">
              <w:rPr>
                <w:rFonts w:eastAsia="Times New Roman"/>
                <w:color w:val="000000"/>
                <w:sz w:val="20"/>
                <w:szCs w:val="20"/>
                <w:lang w:eastAsia="en-GB"/>
              </w:rPr>
              <w:t>427</w:t>
            </w:r>
          </w:p>
        </w:tc>
        <w:tc>
          <w:tcPr>
            <w:tcW w:w="282"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Not specified</w:t>
            </w:r>
          </w:p>
        </w:tc>
        <w:tc>
          <w:tcPr>
            <w:tcW w:w="1334"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30.95</w:t>
            </w:r>
          </w:p>
        </w:tc>
        <w:tc>
          <w:tcPr>
            <w:tcW w:w="1066" w:type="dxa"/>
            <w:tcBorders>
              <w:top w:val="nil"/>
              <w:left w:val="nil"/>
              <w:bottom w:val="single" w:sz="8" w:space="0" w:color="auto"/>
              <w:right w:val="single" w:sz="8" w:space="0" w:color="auto"/>
            </w:tcBorders>
            <w:shd w:val="clear" w:color="auto" w:fill="auto"/>
            <w:noWrap/>
            <w:vAlign w:val="center"/>
          </w:tcPr>
          <w:p w:rsidR="003860B3" w:rsidRDefault="003860B3" w:rsidP="00EB1FAA">
            <w:pPr>
              <w:jc w:val="center"/>
              <w:rPr>
                <w:color w:val="000000"/>
                <w:sz w:val="20"/>
                <w:szCs w:val="20"/>
              </w:rPr>
            </w:pPr>
            <w:r>
              <w:rPr>
                <w:color w:val="000000"/>
                <w:sz w:val="20"/>
                <w:szCs w:val="20"/>
              </w:rPr>
              <w:t>406</w:t>
            </w:r>
          </w:p>
        </w:tc>
        <w:tc>
          <w:tcPr>
            <w:tcW w:w="243" w:type="dxa"/>
            <w:tcBorders>
              <w:top w:val="nil"/>
              <w:left w:val="nil"/>
              <w:bottom w:val="nil"/>
              <w:right w:val="nil"/>
            </w:tcBorders>
            <w:shd w:val="clear" w:color="auto" w:fill="auto"/>
            <w:noWrap/>
            <w:vAlign w:val="bottom"/>
          </w:tcPr>
          <w:p w:rsidR="003860B3" w:rsidRPr="00711CDA" w:rsidRDefault="003860B3" w:rsidP="002A3204">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center"/>
          </w:tcPr>
          <w:p w:rsidR="003860B3" w:rsidRPr="00711CDA" w:rsidRDefault="003860B3" w:rsidP="004D67AD">
            <w:pPr>
              <w:rPr>
                <w:rFonts w:eastAsia="Times New Roman"/>
                <w:color w:val="000000"/>
                <w:sz w:val="20"/>
                <w:szCs w:val="20"/>
                <w:lang w:eastAsia="en-GB"/>
              </w:rPr>
            </w:pPr>
            <w:r w:rsidRPr="00711CDA">
              <w:rPr>
                <w:rFonts w:eastAsia="Times New Roman"/>
                <w:color w:val="000000"/>
                <w:sz w:val="20"/>
                <w:szCs w:val="20"/>
                <w:lang w:eastAsia="en-GB"/>
              </w:rPr>
              <w:t>Not specified</w:t>
            </w:r>
          </w:p>
        </w:tc>
        <w:tc>
          <w:tcPr>
            <w:tcW w:w="1358"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28.74</w:t>
            </w:r>
          </w:p>
        </w:tc>
        <w:tc>
          <w:tcPr>
            <w:tcW w:w="1075" w:type="dxa"/>
            <w:tcBorders>
              <w:top w:val="nil"/>
              <w:left w:val="nil"/>
              <w:bottom w:val="single" w:sz="8" w:space="0" w:color="auto"/>
              <w:right w:val="single" w:sz="8" w:space="0" w:color="auto"/>
            </w:tcBorders>
            <w:shd w:val="clear" w:color="auto" w:fill="auto"/>
            <w:noWrap/>
            <w:vAlign w:val="center"/>
          </w:tcPr>
          <w:p w:rsidR="003860B3" w:rsidRDefault="003860B3" w:rsidP="003860B3">
            <w:pPr>
              <w:jc w:val="center"/>
              <w:rPr>
                <w:color w:val="000000"/>
                <w:sz w:val="20"/>
                <w:szCs w:val="20"/>
              </w:rPr>
            </w:pPr>
            <w:r>
              <w:rPr>
                <w:color w:val="000000"/>
                <w:sz w:val="20"/>
                <w:szCs w:val="20"/>
              </w:rPr>
              <w:t>382</w:t>
            </w:r>
          </w:p>
        </w:tc>
      </w:tr>
      <w:tr w:rsidR="00711CDA" w:rsidRPr="00A21AA8" w:rsidTr="00711CDA">
        <w:trPr>
          <w:trHeight w:val="315"/>
        </w:trPr>
        <w:tc>
          <w:tcPr>
            <w:tcW w:w="2116" w:type="dxa"/>
            <w:tcBorders>
              <w:top w:val="nil"/>
              <w:left w:val="single" w:sz="8" w:space="0" w:color="auto"/>
              <w:bottom w:val="single" w:sz="8" w:space="0" w:color="auto"/>
              <w:right w:val="single" w:sz="8" w:space="0" w:color="auto"/>
            </w:tcBorders>
            <w:shd w:val="clear" w:color="000000" w:fill="DCE6F1"/>
            <w:noWrap/>
            <w:vAlign w:val="center"/>
            <w:hideMark/>
          </w:tcPr>
          <w:p w:rsidR="002A3204" w:rsidRPr="00A21AA8" w:rsidRDefault="002A3204" w:rsidP="002A3204">
            <w:pPr>
              <w:rPr>
                <w:rFonts w:eastAsia="Times New Roman"/>
                <w:b/>
                <w:bCs/>
                <w:color w:val="000000"/>
                <w:sz w:val="22"/>
                <w:szCs w:val="22"/>
                <w:lang w:eastAsia="en-GB"/>
              </w:rPr>
            </w:pPr>
            <w:r w:rsidRPr="00A21AA8">
              <w:rPr>
                <w:rFonts w:eastAsia="Times New Roman"/>
                <w:b/>
                <w:bCs/>
                <w:color w:val="000000"/>
                <w:sz w:val="22"/>
                <w:szCs w:val="22"/>
                <w:lang w:eastAsia="en-GB"/>
              </w:rPr>
              <w:t>Total</w:t>
            </w:r>
          </w:p>
        </w:tc>
        <w:tc>
          <w:tcPr>
            <w:tcW w:w="1355" w:type="dxa"/>
            <w:tcBorders>
              <w:top w:val="nil"/>
              <w:left w:val="nil"/>
              <w:bottom w:val="single" w:sz="8" w:space="0" w:color="auto"/>
              <w:right w:val="single" w:sz="8" w:space="0" w:color="auto"/>
            </w:tcBorders>
            <w:shd w:val="clear" w:color="000000" w:fill="DCE6F1"/>
            <w:noWrap/>
            <w:vAlign w:val="center"/>
            <w:hideMark/>
          </w:tcPr>
          <w:p w:rsidR="002A3204" w:rsidRPr="00711CDA" w:rsidRDefault="002A3204" w:rsidP="00BB10D7">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r w:rsidR="00BB10D7">
              <w:rPr>
                <w:rFonts w:eastAsia="Times New Roman"/>
                <w:b/>
                <w:bCs/>
                <w:color w:val="000000"/>
                <w:sz w:val="20"/>
                <w:szCs w:val="20"/>
                <w:lang w:eastAsia="en-GB"/>
              </w:rPr>
              <w:t>%</w:t>
            </w:r>
          </w:p>
        </w:tc>
        <w:tc>
          <w:tcPr>
            <w:tcW w:w="1000" w:type="dxa"/>
            <w:tcBorders>
              <w:top w:val="nil"/>
              <w:left w:val="nil"/>
              <w:bottom w:val="single" w:sz="8" w:space="0" w:color="auto"/>
              <w:right w:val="single" w:sz="8" w:space="0" w:color="auto"/>
            </w:tcBorders>
            <w:shd w:val="clear" w:color="000000" w:fill="DCE6F1"/>
            <w:noWrap/>
            <w:vAlign w:val="center"/>
            <w:hideMark/>
          </w:tcPr>
          <w:p w:rsidR="002A3204" w:rsidRPr="00711CDA" w:rsidRDefault="002A3204" w:rsidP="002A3204">
            <w:pPr>
              <w:jc w:val="center"/>
              <w:rPr>
                <w:rFonts w:eastAsia="Times New Roman"/>
                <w:b/>
                <w:bCs/>
                <w:color w:val="000000"/>
                <w:sz w:val="20"/>
                <w:szCs w:val="20"/>
                <w:lang w:eastAsia="en-GB"/>
              </w:rPr>
            </w:pPr>
            <w:r w:rsidRPr="00711CDA">
              <w:rPr>
                <w:rFonts w:eastAsia="Times New Roman"/>
                <w:b/>
                <w:bCs/>
                <w:color w:val="000000"/>
                <w:sz w:val="20"/>
                <w:szCs w:val="20"/>
                <w:lang w:eastAsia="en-GB"/>
              </w:rPr>
              <w:t>1254</w:t>
            </w:r>
          </w:p>
        </w:tc>
        <w:tc>
          <w:tcPr>
            <w:tcW w:w="282" w:type="dxa"/>
            <w:tcBorders>
              <w:top w:val="nil"/>
              <w:left w:val="nil"/>
              <w:bottom w:val="nil"/>
              <w:right w:val="nil"/>
            </w:tcBorders>
            <w:shd w:val="clear" w:color="auto" w:fill="auto"/>
            <w:noWrap/>
            <w:vAlign w:val="bottom"/>
            <w:hideMark/>
          </w:tcPr>
          <w:p w:rsidR="002A3204" w:rsidRPr="00711CDA" w:rsidRDefault="002A3204" w:rsidP="002A3204">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000000" w:fill="DCE6F1"/>
            <w:noWrap/>
            <w:vAlign w:val="center"/>
            <w:hideMark/>
          </w:tcPr>
          <w:p w:rsidR="002A3204" w:rsidRPr="00711CDA" w:rsidRDefault="002A3204" w:rsidP="002A3204">
            <w:pPr>
              <w:rPr>
                <w:rFonts w:eastAsia="Times New Roman"/>
                <w:b/>
                <w:bCs/>
                <w:color w:val="000000"/>
                <w:sz w:val="20"/>
                <w:szCs w:val="20"/>
                <w:lang w:eastAsia="en-GB"/>
              </w:rPr>
            </w:pPr>
            <w:r w:rsidRPr="00711CDA">
              <w:rPr>
                <w:rFonts w:eastAsia="Times New Roman"/>
                <w:b/>
                <w:bCs/>
                <w:color w:val="000000"/>
                <w:sz w:val="20"/>
                <w:szCs w:val="20"/>
                <w:lang w:eastAsia="en-GB"/>
              </w:rPr>
              <w:t>Total</w:t>
            </w:r>
          </w:p>
        </w:tc>
        <w:tc>
          <w:tcPr>
            <w:tcW w:w="1334" w:type="dxa"/>
            <w:tcBorders>
              <w:top w:val="nil"/>
              <w:left w:val="nil"/>
              <w:bottom w:val="single" w:sz="8" w:space="0" w:color="auto"/>
              <w:right w:val="single" w:sz="8" w:space="0" w:color="auto"/>
            </w:tcBorders>
            <w:shd w:val="clear" w:color="000000" w:fill="DCE6F1"/>
            <w:noWrap/>
            <w:vAlign w:val="center"/>
            <w:hideMark/>
          </w:tcPr>
          <w:p w:rsidR="002A3204" w:rsidRPr="00711CDA" w:rsidRDefault="002A3204" w:rsidP="00711CDA">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p>
        </w:tc>
        <w:tc>
          <w:tcPr>
            <w:tcW w:w="1066" w:type="dxa"/>
            <w:tcBorders>
              <w:top w:val="nil"/>
              <w:left w:val="nil"/>
              <w:bottom w:val="single" w:sz="8" w:space="0" w:color="auto"/>
              <w:right w:val="single" w:sz="8" w:space="0" w:color="auto"/>
            </w:tcBorders>
            <w:shd w:val="clear" w:color="000000" w:fill="DCE6F1"/>
            <w:noWrap/>
            <w:vAlign w:val="center"/>
            <w:hideMark/>
          </w:tcPr>
          <w:p w:rsidR="002A3204" w:rsidRPr="00711CDA" w:rsidRDefault="002A3204" w:rsidP="00EB1FAA">
            <w:pPr>
              <w:jc w:val="center"/>
              <w:rPr>
                <w:rFonts w:eastAsia="Times New Roman"/>
                <w:b/>
                <w:bCs/>
                <w:color w:val="000000"/>
                <w:sz w:val="20"/>
                <w:szCs w:val="20"/>
                <w:lang w:eastAsia="en-GB"/>
              </w:rPr>
            </w:pPr>
            <w:r w:rsidRPr="00711CDA">
              <w:rPr>
                <w:rFonts w:eastAsia="Times New Roman"/>
                <w:b/>
                <w:bCs/>
                <w:color w:val="000000"/>
                <w:sz w:val="20"/>
                <w:szCs w:val="20"/>
                <w:lang w:eastAsia="en-GB"/>
              </w:rPr>
              <w:t>13</w:t>
            </w:r>
            <w:r w:rsidR="00EB1FAA">
              <w:rPr>
                <w:rFonts w:eastAsia="Times New Roman"/>
                <w:b/>
                <w:bCs/>
                <w:color w:val="000000"/>
                <w:sz w:val="20"/>
                <w:szCs w:val="20"/>
                <w:lang w:eastAsia="en-GB"/>
              </w:rPr>
              <w:t>12</w:t>
            </w:r>
          </w:p>
        </w:tc>
        <w:tc>
          <w:tcPr>
            <w:tcW w:w="243" w:type="dxa"/>
            <w:tcBorders>
              <w:top w:val="nil"/>
              <w:left w:val="nil"/>
              <w:bottom w:val="nil"/>
              <w:right w:val="nil"/>
            </w:tcBorders>
            <w:shd w:val="clear" w:color="auto" w:fill="auto"/>
            <w:noWrap/>
            <w:vAlign w:val="bottom"/>
            <w:hideMark/>
          </w:tcPr>
          <w:p w:rsidR="002A3204" w:rsidRPr="00711CDA" w:rsidRDefault="002A3204" w:rsidP="002A3204">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000000" w:fill="DCE6F1"/>
            <w:noWrap/>
            <w:vAlign w:val="center"/>
            <w:hideMark/>
          </w:tcPr>
          <w:p w:rsidR="002A3204" w:rsidRPr="00711CDA" w:rsidRDefault="002A3204" w:rsidP="002A3204">
            <w:pPr>
              <w:rPr>
                <w:rFonts w:eastAsia="Times New Roman"/>
                <w:b/>
                <w:bCs/>
                <w:color w:val="000000"/>
                <w:sz w:val="20"/>
                <w:szCs w:val="20"/>
                <w:lang w:eastAsia="en-GB"/>
              </w:rPr>
            </w:pPr>
            <w:r w:rsidRPr="00711CDA">
              <w:rPr>
                <w:rFonts w:eastAsia="Times New Roman"/>
                <w:b/>
                <w:bCs/>
                <w:color w:val="000000"/>
                <w:sz w:val="20"/>
                <w:szCs w:val="20"/>
                <w:lang w:eastAsia="en-GB"/>
              </w:rPr>
              <w:t>Total</w:t>
            </w:r>
          </w:p>
        </w:tc>
        <w:tc>
          <w:tcPr>
            <w:tcW w:w="1358" w:type="dxa"/>
            <w:tcBorders>
              <w:top w:val="nil"/>
              <w:left w:val="nil"/>
              <w:bottom w:val="single" w:sz="8" w:space="0" w:color="auto"/>
              <w:right w:val="single" w:sz="8" w:space="0" w:color="auto"/>
            </w:tcBorders>
            <w:shd w:val="clear" w:color="000000" w:fill="DCE6F1"/>
            <w:noWrap/>
            <w:vAlign w:val="center"/>
            <w:hideMark/>
          </w:tcPr>
          <w:p w:rsidR="002A3204" w:rsidRPr="00711CDA" w:rsidRDefault="002A3204" w:rsidP="00711CDA">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p>
        </w:tc>
        <w:tc>
          <w:tcPr>
            <w:tcW w:w="1075" w:type="dxa"/>
            <w:tcBorders>
              <w:top w:val="nil"/>
              <w:left w:val="nil"/>
              <w:bottom w:val="single" w:sz="8" w:space="0" w:color="auto"/>
              <w:right w:val="single" w:sz="8" w:space="0" w:color="auto"/>
            </w:tcBorders>
            <w:shd w:val="clear" w:color="000000" w:fill="DCE6F1"/>
            <w:noWrap/>
            <w:vAlign w:val="center"/>
            <w:hideMark/>
          </w:tcPr>
          <w:p w:rsidR="002A3204" w:rsidRPr="00711CDA" w:rsidRDefault="003860B3" w:rsidP="002A3204">
            <w:pPr>
              <w:jc w:val="center"/>
              <w:rPr>
                <w:rFonts w:eastAsia="Times New Roman"/>
                <w:b/>
                <w:bCs/>
                <w:color w:val="000000"/>
                <w:sz w:val="20"/>
                <w:szCs w:val="20"/>
                <w:lang w:eastAsia="en-GB"/>
              </w:rPr>
            </w:pPr>
            <w:r>
              <w:rPr>
                <w:rFonts w:eastAsia="Times New Roman"/>
                <w:b/>
                <w:bCs/>
                <w:color w:val="000000"/>
                <w:sz w:val="20"/>
                <w:szCs w:val="20"/>
                <w:lang w:eastAsia="en-GB"/>
              </w:rPr>
              <w:t>1329</w:t>
            </w:r>
          </w:p>
        </w:tc>
      </w:tr>
    </w:tbl>
    <w:p w:rsidR="002A3204" w:rsidRDefault="002A3204" w:rsidP="008A22C6">
      <w:pPr>
        <w:rPr>
          <w:sz w:val="22"/>
          <w:szCs w:val="22"/>
        </w:rPr>
      </w:pPr>
    </w:p>
    <w:p w:rsidR="00BB10D7" w:rsidRDefault="00711CDA" w:rsidP="008A22C6">
      <w:pPr>
        <w:rPr>
          <w:sz w:val="22"/>
          <w:szCs w:val="22"/>
        </w:rPr>
      </w:pPr>
      <w:r w:rsidRPr="000540D8">
        <w:rPr>
          <w:b/>
          <w:szCs w:val="22"/>
        </w:rPr>
        <w:t xml:space="preserve">Commentary: </w:t>
      </w:r>
      <w:r w:rsidRPr="000540D8">
        <w:rPr>
          <w:szCs w:val="22"/>
        </w:rPr>
        <w:t>Although the number of staff who have declared themselves as Lesbian, Gay</w:t>
      </w:r>
      <w:r w:rsidR="00B33703">
        <w:rPr>
          <w:szCs w:val="22"/>
        </w:rPr>
        <w:t xml:space="preserve"> or</w:t>
      </w:r>
      <w:r w:rsidRPr="000540D8">
        <w:rPr>
          <w:szCs w:val="22"/>
        </w:rPr>
        <w:t xml:space="preserve"> Bisexual has increased steadily over the reporting period and is at a three year high, there remains a significant proportion of staff who have either indicated ‘</w:t>
      </w:r>
      <w:r w:rsidRPr="000540D8">
        <w:rPr>
          <w:i/>
          <w:szCs w:val="22"/>
        </w:rPr>
        <w:t>prefer not to say</w:t>
      </w:r>
      <w:r w:rsidRPr="000540D8">
        <w:rPr>
          <w:szCs w:val="22"/>
        </w:rPr>
        <w:t>’ (5.</w:t>
      </w:r>
      <w:r w:rsidR="00B33703">
        <w:rPr>
          <w:szCs w:val="22"/>
        </w:rPr>
        <w:t>64</w:t>
      </w:r>
      <w:r w:rsidRPr="000540D8">
        <w:rPr>
          <w:szCs w:val="22"/>
        </w:rPr>
        <w:t>%) or ‘</w:t>
      </w:r>
      <w:r w:rsidRPr="000540D8">
        <w:rPr>
          <w:i/>
          <w:szCs w:val="22"/>
        </w:rPr>
        <w:t>not specified</w:t>
      </w:r>
      <w:r w:rsidRPr="000540D8">
        <w:rPr>
          <w:szCs w:val="22"/>
        </w:rPr>
        <w:t>’ (28.7</w:t>
      </w:r>
      <w:r w:rsidR="00B33703">
        <w:rPr>
          <w:szCs w:val="22"/>
        </w:rPr>
        <w:t>4</w:t>
      </w:r>
      <w:r w:rsidRPr="000540D8">
        <w:rPr>
          <w:szCs w:val="22"/>
        </w:rPr>
        <w:t>%) at employee on</w:t>
      </w:r>
      <w:r w:rsidR="006E6CB8">
        <w:rPr>
          <w:szCs w:val="22"/>
        </w:rPr>
        <w:t>-</w:t>
      </w:r>
      <w:r w:rsidRPr="000540D8">
        <w:rPr>
          <w:szCs w:val="22"/>
        </w:rPr>
        <w:t>boarding stage</w:t>
      </w:r>
      <w:r w:rsidR="00DE61B5">
        <w:rPr>
          <w:szCs w:val="22"/>
        </w:rPr>
        <w:t xml:space="preserve"> as </w:t>
      </w:r>
      <w:r w:rsidR="00DE61B5" w:rsidRPr="000540D8">
        <w:rPr>
          <w:szCs w:val="22"/>
        </w:rPr>
        <w:t>at March 201</w:t>
      </w:r>
      <w:r w:rsidR="00DE61B5">
        <w:rPr>
          <w:szCs w:val="22"/>
        </w:rPr>
        <w:t>8</w:t>
      </w:r>
      <w:r w:rsidRPr="000540D8">
        <w:rPr>
          <w:szCs w:val="22"/>
        </w:rPr>
        <w:t>.</w:t>
      </w:r>
    </w:p>
    <w:p w:rsidR="00BB10D7" w:rsidRDefault="00BB10D7" w:rsidP="008A22C6">
      <w:pPr>
        <w:rPr>
          <w:sz w:val="22"/>
          <w:szCs w:val="22"/>
        </w:rPr>
      </w:pPr>
    </w:p>
    <w:p w:rsidR="00BB10D7" w:rsidRDefault="00BB10D7" w:rsidP="008A22C6">
      <w:pPr>
        <w:rPr>
          <w:sz w:val="22"/>
          <w:szCs w:val="22"/>
        </w:rPr>
      </w:pPr>
    </w:p>
    <w:p w:rsidR="00BB10D7" w:rsidRDefault="00BB10D7" w:rsidP="008A22C6">
      <w:pPr>
        <w:rPr>
          <w:sz w:val="22"/>
          <w:szCs w:val="22"/>
        </w:rPr>
      </w:pPr>
    </w:p>
    <w:p w:rsidR="00BB10D7" w:rsidRDefault="00BB10D7" w:rsidP="008A22C6">
      <w:pPr>
        <w:rPr>
          <w:sz w:val="22"/>
          <w:szCs w:val="22"/>
        </w:rPr>
      </w:pPr>
    </w:p>
    <w:p w:rsidR="00BB10D7" w:rsidRDefault="00BB10D7">
      <w:pPr>
        <w:rPr>
          <w:sz w:val="22"/>
          <w:szCs w:val="22"/>
        </w:rPr>
      </w:pPr>
      <w:r>
        <w:rPr>
          <w:sz w:val="22"/>
          <w:szCs w:val="22"/>
        </w:rPr>
        <w:br w:type="page"/>
      </w:r>
    </w:p>
    <w:p w:rsidR="00BB10D7" w:rsidRDefault="00BB10D7" w:rsidP="008A22C6">
      <w:pPr>
        <w:rPr>
          <w:szCs w:val="22"/>
        </w:rPr>
      </w:pPr>
      <w:r w:rsidRPr="00BB10D7">
        <w:rPr>
          <w:b/>
          <w:szCs w:val="22"/>
        </w:rPr>
        <w:lastRenderedPageBreak/>
        <w:t>Religion/Belief &amp; Non Belief profile:</w:t>
      </w:r>
    </w:p>
    <w:tbl>
      <w:tblPr>
        <w:tblW w:w="15010" w:type="dxa"/>
        <w:tblInd w:w="93" w:type="dxa"/>
        <w:tblLook w:val="04A0" w:firstRow="1" w:lastRow="0" w:firstColumn="1" w:lastColumn="0" w:noHBand="0" w:noVBand="1"/>
      </w:tblPr>
      <w:tblGrid>
        <w:gridCol w:w="2116"/>
        <w:gridCol w:w="1355"/>
        <w:gridCol w:w="1000"/>
        <w:gridCol w:w="207"/>
        <w:gridCol w:w="75"/>
        <w:gridCol w:w="325"/>
        <w:gridCol w:w="1870"/>
        <w:gridCol w:w="1334"/>
        <w:gridCol w:w="1066"/>
        <w:gridCol w:w="243"/>
        <w:gridCol w:w="165"/>
        <w:gridCol w:w="400"/>
        <w:gridCol w:w="1601"/>
        <w:gridCol w:w="1358"/>
        <w:gridCol w:w="1075"/>
        <w:gridCol w:w="820"/>
      </w:tblGrid>
      <w:tr w:rsidR="00BB10D7" w:rsidRPr="00330736" w:rsidTr="004266E9">
        <w:trPr>
          <w:trHeight w:val="315"/>
        </w:trPr>
        <w:tc>
          <w:tcPr>
            <w:tcW w:w="4678" w:type="dxa"/>
            <w:gridSpan w:val="4"/>
            <w:tcBorders>
              <w:top w:val="nil"/>
              <w:left w:val="nil"/>
              <w:bottom w:val="nil"/>
              <w:right w:val="nil"/>
            </w:tcBorders>
            <w:shd w:val="clear" w:color="auto" w:fill="auto"/>
            <w:noWrap/>
            <w:vAlign w:val="bottom"/>
            <w:hideMark/>
          </w:tcPr>
          <w:p w:rsidR="00BB10D7" w:rsidRPr="00330736" w:rsidRDefault="00BB10D7" w:rsidP="00BB10D7">
            <w:pPr>
              <w:rPr>
                <w:rFonts w:eastAsia="Times New Roman"/>
                <w:b/>
                <w:bCs/>
                <w:color w:val="000000"/>
                <w:lang w:eastAsia="en-GB"/>
              </w:rPr>
            </w:pPr>
          </w:p>
        </w:tc>
        <w:tc>
          <w:tcPr>
            <w:tcW w:w="400" w:type="dxa"/>
            <w:gridSpan w:val="2"/>
            <w:tcBorders>
              <w:top w:val="nil"/>
              <w:left w:val="nil"/>
              <w:bottom w:val="nil"/>
              <w:right w:val="nil"/>
            </w:tcBorders>
            <w:shd w:val="clear" w:color="auto" w:fill="auto"/>
            <w:noWrap/>
            <w:vAlign w:val="bottom"/>
            <w:hideMark/>
          </w:tcPr>
          <w:p w:rsidR="00BB10D7" w:rsidRPr="00330736" w:rsidRDefault="00BB10D7" w:rsidP="00BB10D7">
            <w:pPr>
              <w:rPr>
                <w:rFonts w:eastAsia="Times New Roman"/>
                <w:color w:val="000000"/>
                <w:lang w:eastAsia="en-GB"/>
              </w:rPr>
            </w:pPr>
          </w:p>
        </w:tc>
        <w:tc>
          <w:tcPr>
            <w:tcW w:w="4678" w:type="dxa"/>
            <w:gridSpan w:val="5"/>
            <w:tcBorders>
              <w:top w:val="nil"/>
              <w:left w:val="nil"/>
              <w:bottom w:val="nil"/>
              <w:right w:val="nil"/>
            </w:tcBorders>
            <w:shd w:val="clear" w:color="auto" w:fill="auto"/>
            <w:noWrap/>
            <w:vAlign w:val="bottom"/>
            <w:hideMark/>
          </w:tcPr>
          <w:p w:rsidR="00BB10D7" w:rsidRPr="00330736" w:rsidRDefault="00BB10D7" w:rsidP="00BB10D7">
            <w:pPr>
              <w:rPr>
                <w:rFonts w:eastAsia="Times New Roman"/>
                <w:b/>
                <w:bCs/>
                <w:color w:val="000000"/>
                <w:lang w:eastAsia="en-GB"/>
              </w:rPr>
            </w:pPr>
          </w:p>
        </w:tc>
        <w:tc>
          <w:tcPr>
            <w:tcW w:w="400" w:type="dxa"/>
            <w:tcBorders>
              <w:top w:val="nil"/>
              <w:left w:val="nil"/>
              <w:bottom w:val="nil"/>
              <w:right w:val="nil"/>
            </w:tcBorders>
            <w:shd w:val="clear" w:color="auto" w:fill="auto"/>
            <w:noWrap/>
            <w:vAlign w:val="bottom"/>
            <w:hideMark/>
          </w:tcPr>
          <w:p w:rsidR="00BB10D7" w:rsidRPr="00330736" w:rsidRDefault="00BB10D7" w:rsidP="00BB10D7">
            <w:pPr>
              <w:rPr>
                <w:rFonts w:eastAsia="Times New Roman"/>
                <w:color w:val="000000"/>
                <w:lang w:eastAsia="en-GB"/>
              </w:rPr>
            </w:pPr>
          </w:p>
        </w:tc>
        <w:tc>
          <w:tcPr>
            <w:tcW w:w="4854" w:type="dxa"/>
            <w:gridSpan w:val="4"/>
            <w:tcBorders>
              <w:top w:val="nil"/>
              <w:left w:val="nil"/>
              <w:bottom w:val="nil"/>
              <w:right w:val="nil"/>
            </w:tcBorders>
            <w:shd w:val="clear" w:color="auto" w:fill="auto"/>
            <w:noWrap/>
            <w:vAlign w:val="bottom"/>
            <w:hideMark/>
          </w:tcPr>
          <w:p w:rsidR="00BB10D7" w:rsidRPr="00330736" w:rsidRDefault="00BB10D7" w:rsidP="00BB10D7">
            <w:pPr>
              <w:rPr>
                <w:rFonts w:eastAsia="Times New Roman"/>
                <w:b/>
                <w:bCs/>
                <w:color w:val="000000"/>
                <w:lang w:eastAsia="en-GB"/>
              </w:rPr>
            </w:pPr>
          </w:p>
        </w:tc>
      </w:tr>
      <w:tr w:rsidR="00312667" w:rsidRPr="00711CDA" w:rsidTr="00312667">
        <w:trPr>
          <w:gridAfter w:val="1"/>
          <w:wAfter w:w="820" w:type="dxa"/>
          <w:trHeight w:val="315"/>
        </w:trPr>
        <w:tc>
          <w:tcPr>
            <w:tcW w:w="4471" w:type="dxa"/>
            <w:gridSpan w:val="3"/>
            <w:shd w:val="clear" w:color="auto" w:fill="auto"/>
            <w:noWrap/>
            <w:vAlign w:val="center"/>
          </w:tcPr>
          <w:p w:rsidR="00312667" w:rsidRPr="00711CDA" w:rsidRDefault="00312667" w:rsidP="00312667">
            <w:pPr>
              <w:rPr>
                <w:rFonts w:eastAsia="Times New Roman"/>
                <w:b/>
                <w:bCs/>
                <w:color w:val="000000"/>
                <w:sz w:val="20"/>
                <w:szCs w:val="20"/>
                <w:lang w:eastAsia="en-GB"/>
              </w:rPr>
            </w:pPr>
            <w:r w:rsidRPr="00330736">
              <w:rPr>
                <w:rFonts w:eastAsia="Times New Roman"/>
                <w:b/>
                <w:bCs/>
                <w:color w:val="000000"/>
                <w:lang w:eastAsia="en-GB"/>
              </w:rPr>
              <w:t>As at 31/03/16</w:t>
            </w:r>
          </w:p>
        </w:tc>
        <w:tc>
          <w:tcPr>
            <w:tcW w:w="282" w:type="dxa"/>
            <w:gridSpan w:val="2"/>
            <w:shd w:val="clear" w:color="auto" w:fill="auto"/>
            <w:noWrap/>
            <w:vAlign w:val="bottom"/>
          </w:tcPr>
          <w:p w:rsidR="00312667" w:rsidRPr="00711CDA" w:rsidRDefault="00312667" w:rsidP="004D67AD">
            <w:pPr>
              <w:rPr>
                <w:rFonts w:eastAsia="Times New Roman"/>
                <w:color w:val="000000"/>
                <w:sz w:val="20"/>
                <w:szCs w:val="20"/>
                <w:lang w:eastAsia="en-GB"/>
              </w:rPr>
            </w:pPr>
          </w:p>
        </w:tc>
        <w:tc>
          <w:tcPr>
            <w:tcW w:w="4595" w:type="dxa"/>
            <w:gridSpan w:val="4"/>
            <w:shd w:val="clear" w:color="auto" w:fill="auto"/>
            <w:noWrap/>
            <w:vAlign w:val="center"/>
          </w:tcPr>
          <w:p w:rsidR="00312667" w:rsidRPr="00711CDA" w:rsidRDefault="00312667" w:rsidP="00312667">
            <w:pPr>
              <w:rPr>
                <w:rFonts w:eastAsia="Times New Roman"/>
                <w:b/>
                <w:bCs/>
                <w:color w:val="000000"/>
                <w:sz w:val="20"/>
                <w:szCs w:val="20"/>
                <w:lang w:eastAsia="en-GB"/>
              </w:rPr>
            </w:pPr>
            <w:r w:rsidRPr="00330736">
              <w:rPr>
                <w:rFonts w:eastAsia="Times New Roman"/>
                <w:b/>
                <w:bCs/>
                <w:color w:val="000000"/>
                <w:lang w:eastAsia="en-GB"/>
              </w:rPr>
              <w:t>As at 31/03/17</w:t>
            </w:r>
          </w:p>
        </w:tc>
        <w:tc>
          <w:tcPr>
            <w:tcW w:w="243" w:type="dxa"/>
            <w:shd w:val="clear" w:color="auto" w:fill="auto"/>
            <w:noWrap/>
            <w:vAlign w:val="bottom"/>
          </w:tcPr>
          <w:p w:rsidR="00312667" w:rsidRPr="00711CDA" w:rsidRDefault="00312667" w:rsidP="004D67AD">
            <w:pPr>
              <w:rPr>
                <w:rFonts w:eastAsia="Times New Roman"/>
                <w:color w:val="000000"/>
                <w:sz w:val="20"/>
                <w:szCs w:val="20"/>
                <w:lang w:eastAsia="en-GB"/>
              </w:rPr>
            </w:pPr>
          </w:p>
        </w:tc>
        <w:tc>
          <w:tcPr>
            <w:tcW w:w="4599" w:type="dxa"/>
            <w:gridSpan w:val="5"/>
            <w:shd w:val="clear" w:color="auto" w:fill="auto"/>
            <w:noWrap/>
            <w:vAlign w:val="center"/>
          </w:tcPr>
          <w:p w:rsidR="00312667" w:rsidRPr="00711CDA" w:rsidRDefault="00312667" w:rsidP="00312667">
            <w:pPr>
              <w:rPr>
                <w:rFonts w:eastAsia="Times New Roman"/>
                <w:b/>
                <w:bCs/>
                <w:color w:val="000000"/>
                <w:sz w:val="20"/>
                <w:szCs w:val="20"/>
                <w:lang w:eastAsia="en-GB"/>
              </w:rPr>
            </w:pPr>
            <w:r w:rsidRPr="00330736">
              <w:rPr>
                <w:rFonts w:eastAsia="Times New Roman"/>
                <w:b/>
                <w:bCs/>
                <w:color w:val="000000"/>
                <w:lang w:eastAsia="en-GB"/>
              </w:rPr>
              <w:t>As at 31/03/18</w:t>
            </w:r>
          </w:p>
        </w:tc>
      </w:tr>
      <w:tr w:rsidR="00312667" w:rsidRPr="00711CDA" w:rsidTr="00312667">
        <w:trPr>
          <w:gridAfter w:val="1"/>
          <w:wAfter w:w="820" w:type="dxa"/>
          <w:trHeight w:val="315"/>
        </w:trPr>
        <w:tc>
          <w:tcPr>
            <w:tcW w:w="2116" w:type="dxa"/>
            <w:tcBorders>
              <w:bottom w:val="single" w:sz="4" w:space="0" w:color="auto"/>
            </w:tcBorders>
            <w:shd w:val="clear" w:color="auto" w:fill="auto"/>
            <w:noWrap/>
            <w:vAlign w:val="center"/>
          </w:tcPr>
          <w:p w:rsidR="00312667" w:rsidRPr="00BB10D7" w:rsidRDefault="00312667" w:rsidP="004D67AD">
            <w:pPr>
              <w:rPr>
                <w:rFonts w:eastAsia="Times New Roman"/>
                <w:b/>
                <w:bCs/>
                <w:color w:val="000000"/>
                <w:sz w:val="20"/>
                <w:szCs w:val="20"/>
                <w:lang w:eastAsia="en-GB"/>
              </w:rPr>
            </w:pPr>
          </w:p>
        </w:tc>
        <w:tc>
          <w:tcPr>
            <w:tcW w:w="1355" w:type="dxa"/>
            <w:tcBorders>
              <w:bottom w:val="single" w:sz="4" w:space="0" w:color="auto"/>
            </w:tcBorders>
            <w:shd w:val="clear" w:color="auto" w:fill="auto"/>
            <w:noWrap/>
            <w:vAlign w:val="center"/>
          </w:tcPr>
          <w:p w:rsidR="00312667" w:rsidRPr="00BB10D7" w:rsidRDefault="00312667" w:rsidP="004D67AD">
            <w:pPr>
              <w:jc w:val="center"/>
              <w:rPr>
                <w:rFonts w:eastAsia="Times New Roman"/>
                <w:b/>
                <w:bCs/>
                <w:color w:val="000000"/>
                <w:sz w:val="20"/>
                <w:szCs w:val="20"/>
                <w:lang w:eastAsia="en-GB"/>
              </w:rPr>
            </w:pPr>
          </w:p>
        </w:tc>
        <w:tc>
          <w:tcPr>
            <w:tcW w:w="1000" w:type="dxa"/>
            <w:tcBorders>
              <w:bottom w:val="single" w:sz="4" w:space="0" w:color="auto"/>
            </w:tcBorders>
            <w:shd w:val="clear" w:color="auto" w:fill="auto"/>
            <w:noWrap/>
            <w:vAlign w:val="center"/>
          </w:tcPr>
          <w:p w:rsidR="00312667" w:rsidRPr="00711CDA" w:rsidRDefault="00312667" w:rsidP="004D67AD">
            <w:pPr>
              <w:jc w:val="center"/>
              <w:rPr>
                <w:rFonts w:eastAsia="Times New Roman"/>
                <w:b/>
                <w:bCs/>
                <w:color w:val="000000"/>
                <w:sz w:val="20"/>
                <w:szCs w:val="20"/>
                <w:lang w:eastAsia="en-GB"/>
              </w:rPr>
            </w:pPr>
          </w:p>
        </w:tc>
        <w:tc>
          <w:tcPr>
            <w:tcW w:w="282" w:type="dxa"/>
            <w:gridSpan w:val="2"/>
            <w:tcBorders>
              <w:bottom w:val="single" w:sz="4" w:space="0" w:color="auto"/>
            </w:tcBorders>
            <w:shd w:val="clear" w:color="auto" w:fill="auto"/>
            <w:noWrap/>
            <w:vAlign w:val="bottom"/>
          </w:tcPr>
          <w:p w:rsidR="00312667" w:rsidRPr="00711CDA" w:rsidRDefault="00312667" w:rsidP="004D67AD">
            <w:pPr>
              <w:rPr>
                <w:rFonts w:eastAsia="Times New Roman"/>
                <w:color w:val="000000"/>
                <w:sz w:val="20"/>
                <w:szCs w:val="20"/>
                <w:lang w:eastAsia="en-GB"/>
              </w:rPr>
            </w:pPr>
          </w:p>
        </w:tc>
        <w:tc>
          <w:tcPr>
            <w:tcW w:w="2195" w:type="dxa"/>
            <w:gridSpan w:val="2"/>
            <w:tcBorders>
              <w:bottom w:val="single" w:sz="4" w:space="0" w:color="auto"/>
            </w:tcBorders>
            <w:shd w:val="clear" w:color="auto" w:fill="auto"/>
            <w:noWrap/>
            <w:vAlign w:val="center"/>
          </w:tcPr>
          <w:p w:rsidR="00312667" w:rsidRPr="00BB10D7" w:rsidRDefault="00312667" w:rsidP="004D67AD">
            <w:pPr>
              <w:rPr>
                <w:rFonts w:eastAsia="Times New Roman"/>
                <w:b/>
                <w:bCs/>
                <w:color w:val="000000"/>
                <w:sz w:val="20"/>
                <w:szCs w:val="20"/>
                <w:lang w:eastAsia="en-GB"/>
              </w:rPr>
            </w:pPr>
          </w:p>
        </w:tc>
        <w:tc>
          <w:tcPr>
            <w:tcW w:w="1334" w:type="dxa"/>
            <w:tcBorders>
              <w:bottom w:val="single" w:sz="4" w:space="0" w:color="auto"/>
            </w:tcBorders>
            <w:shd w:val="clear" w:color="auto" w:fill="auto"/>
            <w:noWrap/>
            <w:vAlign w:val="center"/>
          </w:tcPr>
          <w:p w:rsidR="00312667" w:rsidRPr="00BB10D7" w:rsidRDefault="00312667" w:rsidP="004D67AD">
            <w:pPr>
              <w:jc w:val="center"/>
              <w:rPr>
                <w:rFonts w:eastAsia="Times New Roman"/>
                <w:b/>
                <w:bCs/>
                <w:color w:val="000000"/>
                <w:sz w:val="20"/>
                <w:szCs w:val="20"/>
                <w:lang w:eastAsia="en-GB"/>
              </w:rPr>
            </w:pPr>
          </w:p>
        </w:tc>
        <w:tc>
          <w:tcPr>
            <w:tcW w:w="1066" w:type="dxa"/>
            <w:tcBorders>
              <w:bottom w:val="single" w:sz="4" w:space="0" w:color="auto"/>
            </w:tcBorders>
            <w:shd w:val="clear" w:color="auto" w:fill="auto"/>
            <w:noWrap/>
            <w:vAlign w:val="center"/>
          </w:tcPr>
          <w:p w:rsidR="00312667" w:rsidRPr="00711CDA" w:rsidRDefault="00312667" w:rsidP="004D67AD">
            <w:pPr>
              <w:jc w:val="center"/>
              <w:rPr>
                <w:rFonts w:eastAsia="Times New Roman"/>
                <w:b/>
                <w:bCs/>
                <w:color w:val="000000"/>
                <w:sz w:val="20"/>
                <w:szCs w:val="20"/>
                <w:lang w:eastAsia="en-GB"/>
              </w:rPr>
            </w:pPr>
          </w:p>
        </w:tc>
        <w:tc>
          <w:tcPr>
            <w:tcW w:w="243" w:type="dxa"/>
            <w:tcBorders>
              <w:bottom w:val="single" w:sz="4" w:space="0" w:color="auto"/>
            </w:tcBorders>
            <w:shd w:val="clear" w:color="auto" w:fill="auto"/>
            <w:noWrap/>
            <w:vAlign w:val="bottom"/>
          </w:tcPr>
          <w:p w:rsidR="00312667" w:rsidRPr="00711CDA" w:rsidRDefault="00312667" w:rsidP="004D67AD">
            <w:pPr>
              <w:rPr>
                <w:rFonts w:eastAsia="Times New Roman"/>
                <w:color w:val="000000"/>
                <w:sz w:val="20"/>
                <w:szCs w:val="20"/>
                <w:lang w:eastAsia="en-GB"/>
              </w:rPr>
            </w:pPr>
          </w:p>
        </w:tc>
        <w:tc>
          <w:tcPr>
            <w:tcW w:w="2166" w:type="dxa"/>
            <w:gridSpan w:val="3"/>
            <w:tcBorders>
              <w:bottom w:val="single" w:sz="4" w:space="0" w:color="auto"/>
            </w:tcBorders>
            <w:shd w:val="clear" w:color="auto" w:fill="auto"/>
            <w:noWrap/>
            <w:vAlign w:val="center"/>
          </w:tcPr>
          <w:p w:rsidR="00312667" w:rsidRPr="00BB10D7" w:rsidRDefault="00312667" w:rsidP="004D67AD">
            <w:pPr>
              <w:rPr>
                <w:rFonts w:eastAsia="Times New Roman"/>
                <w:b/>
                <w:bCs/>
                <w:color w:val="000000"/>
                <w:sz w:val="20"/>
                <w:szCs w:val="20"/>
                <w:lang w:eastAsia="en-GB"/>
              </w:rPr>
            </w:pPr>
          </w:p>
        </w:tc>
        <w:tc>
          <w:tcPr>
            <w:tcW w:w="1358" w:type="dxa"/>
            <w:tcBorders>
              <w:bottom w:val="single" w:sz="4" w:space="0" w:color="auto"/>
            </w:tcBorders>
            <w:shd w:val="clear" w:color="auto" w:fill="auto"/>
            <w:noWrap/>
            <w:vAlign w:val="center"/>
          </w:tcPr>
          <w:p w:rsidR="00312667" w:rsidRPr="00BB10D7" w:rsidRDefault="00312667" w:rsidP="004D67AD">
            <w:pPr>
              <w:jc w:val="center"/>
              <w:rPr>
                <w:rFonts w:eastAsia="Times New Roman"/>
                <w:b/>
                <w:bCs/>
                <w:color w:val="000000"/>
                <w:sz w:val="20"/>
                <w:szCs w:val="20"/>
                <w:lang w:eastAsia="en-GB"/>
              </w:rPr>
            </w:pPr>
          </w:p>
        </w:tc>
        <w:tc>
          <w:tcPr>
            <w:tcW w:w="1075" w:type="dxa"/>
            <w:tcBorders>
              <w:bottom w:val="single" w:sz="4" w:space="0" w:color="auto"/>
            </w:tcBorders>
            <w:shd w:val="clear" w:color="auto" w:fill="auto"/>
            <w:noWrap/>
            <w:vAlign w:val="center"/>
          </w:tcPr>
          <w:p w:rsidR="00312667" w:rsidRPr="00711CDA" w:rsidRDefault="00312667" w:rsidP="004D67AD">
            <w:pPr>
              <w:jc w:val="center"/>
              <w:rPr>
                <w:rFonts w:eastAsia="Times New Roman"/>
                <w:b/>
                <w:bCs/>
                <w:color w:val="000000"/>
                <w:sz w:val="20"/>
                <w:szCs w:val="20"/>
                <w:lang w:eastAsia="en-GB"/>
              </w:rPr>
            </w:pPr>
          </w:p>
        </w:tc>
      </w:tr>
      <w:tr w:rsidR="004266E9" w:rsidRPr="00711CDA" w:rsidTr="00312667">
        <w:trPr>
          <w:gridAfter w:val="1"/>
          <w:wAfter w:w="820" w:type="dxa"/>
          <w:trHeight w:val="315"/>
        </w:trPr>
        <w:tc>
          <w:tcPr>
            <w:tcW w:w="2116" w:type="dxa"/>
            <w:tcBorders>
              <w:top w:val="single" w:sz="4" w:space="0" w:color="auto"/>
              <w:left w:val="single" w:sz="8" w:space="0" w:color="auto"/>
              <w:bottom w:val="single" w:sz="8" w:space="0" w:color="auto"/>
              <w:right w:val="single" w:sz="8" w:space="0" w:color="auto"/>
            </w:tcBorders>
            <w:shd w:val="clear" w:color="000000" w:fill="DCE6F1"/>
            <w:noWrap/>
            <w:vAlign w:val="center"/>
          </w:tcPr>
          <w:p w:rsidR="004266E9" w:rsidRPr="00BB10D7" w:rsidRDefault="004266E9" w:rsidP="004D67AD">
            <w:pPr>
              <w:rPr>
                <w:rFonts w:eastAsia="Times New Roman"/>
                <w:b/>
                <w:bCs/>
                <w:color w:val="000000"/>
                <w:sz w:val="20"/>
                <w:szCs w:val="20"/>
                <w:lang w:eastAsia="en-GB"/>
              </w:rPr>
            </w:pPr>
            <w:r w:rsidRPr="00BB10D7">
              <w:rPr>
                <w:rFonts w:eastAsia="Times New Roman"/>
                <w:b/>
                <w:bCs/>
                <w:color w:val="000000"/>
                <w:sz w:val="20"/>
                <w:szCs w:val="20"/>
                <w:lang w:eastAsia="en-GB"/>
              </w:rPr>
              <w:t>Religion</w:t>
            </w:r>
          </w:p>
        </w:tc>
        <w:tc>
          <w:tcPr>
            <w:tcW w:w="1355" w:type="dxa"/>
            <w:tcBorders>
              <w:top w:val="single" w:sz="4" w:space="0" w:color="auto"/>
              <w:left w:val="nil"/>
              <w:bottom w:val="single" w:sz="8" w:space="0" w:color="auto"/>
              <w:right w:val="single" w:sz="8" w:space="0" w:color="auto"/>
            </w:tcBorders>
            <w:shd w:val="clear" w:color="000000" w:fill="DCE6F1"/>
            <w:noWrap/>
            <w:vAlign w:val="center"/>
          </w:tcPr>
          <w:p w:rsidR="004266E9" w:rsidRPr="00BB10D7" w:rsidRDefault="004266E9" w:rsidP="004D67AD">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00" w:type="dxa"/>
            <w:tcBorders>
              <w:top w:val="single" w:sz="4" w:space="0" w:color="auto"/>
              <w:left w:val="nil"/>
              <w:bottom w:val="single" w:sz="8" w:space="0" w:color="auto"/>
              <w:right w:val="single" w:sz="8" w:space="0" w:color="auto"/>
            </w:tcBorders>
            <w:shd w:val="clear" w:color="000000" w:fill="DCE6F1"/>
            <w:noWrap/>
            <w:vAlign w:val="center"/>
          </w:tcPr>
          <w:p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82" w:type="dxa"/>
            <w:gridSpan w:val="2"/>
            <w:tcBorders>
              <w:top w:val="single" w:sz="4" w:space="0" w:color="auto"/>
              <w:left w:val="nil"/>
              <w:bottom w:val="nil"/>
              <w:right w:val="nil"/>
            </w:tcBorders>
            <w:shd w:val="clear" w:color="auto" w:fill="auto"/>
            <w:noWrap/>
            <w:vAlign w:val="bottom"/>
          </w:tcPr>
          <w:p w:rsidR="004266E9" w:rsidRPr="00711CDA" w:rsidRDefault="004266E9" w:rsidP="004D67AD">
            <w:pPr>
              <w:rPr>
                <w:rFonts w:eastAsia="Times New Roman"/>
                <w:color w:val="000000"/>
                <w:sz w:val="20"/>
                <w:szCs w:val="20"/>
                <w:lang w:eastAsia="en-GB"/>
              </w:rPr>
            </w:pPr>
          </w:p>
        </w:tc>
        <w:tc>
          <w:tcPr>
            <w:tcW w:w="2195" w:type="dxa"/>
            <w:gridSpan w:val="2"/>
            <w:tcBorders>
              <w:top w:val="single" w:sz="4" w:space="0" w:color="auto"/>
              <w:left w:val="single" w:sz="8" w:space="0" w:color="auto"/>
              <w:bottom w:val="single" w:sz="8" w:space="0" w:color="auto"/>
              <w:right w:val="single" w:sz="8" w:space="0" w:color="auto"/>
            </w:tcBorders>
            <w:shd w:val="clear" w:color="000000" w:fill="DCE6F1"/>
            <w:noWrap/>
            <w:vAlign w:val="center"/>
          </w:tcPr>
          <w:p w:rsidR="004266E9" w:rsidRPr="00BB10D7" w:rsidRDefault="004266E9" w:rsidP="004D67AD">
            <w:pPr>
              <w:rPr>
                <w:rFonts w:eastAsia="Times New Roman"/>
                <w:b/>
                <w:bCs/>
                <w:color w:val="000000"/>
                <w:sz w:val="20"/>
                <w:szCs w:val="20"/>
                <w:lang w:eastAsia="en-GB"/>
              </w:rPr>
            </w:pPr>
            <w:r w:rsidRPr="00BB10D7">
              <w:rPr>
                <w:rFonts w:eastAsia="Times New Roman"/>
                <w:b/>
                <w:bCs/>
                <w:color w:val="000000"/>
                <w:sz w:val="20"/>
                <w:szCs w:val="20"/>
                <w:lang w:eastAsia="en-GB"/>
              </w:rPr>
              <w:t>Religion</w:t>
            </w:r>
          </w:p>
        </w:tc>
        <w:tc>
          <w:tcPr>
            <w:tcW w:w="1334" w:type="dxa"/>
            <w:tcBorders>
              <w:top w:val="single" w:sz="4" w:space="0" w:color="auto"/>
              <w:left w:val="nil"/>
              <w:bottom w:val="single" w:sz="8" w:space="0" w:color="auto"/>
              <w:right w:val="single" w:sz="8" w:space="0" w:color="auto"/>
            </w:tcBorders>
            <w:shd w:val="clear" w:color="000000" w:fill="DCE6F1"/>
            <w:noWrap/>
            <w:vAlign w:val="center"/>
          </w:tcPr>
          <w:p w:rsidR="004266E9" w:rsidRPr="00BB10D7" w:rsidRDefault="004266E9" w:rsidP="004D67AD">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66" w:type="dxa"/>
            <w:tcBorders>
              <w:top w:val="single" w:sz="4" w:space="0" w:color="auto"/>
              <w:left w:val="nil"/>
              <w:bottom w:val="single" w:sz="8" w:space="0" w:color="auto"/>
              <w:right w:val="single" w:sz="8" w:space="0" w:color="auto"/>
            </w:tcBorders>
            <w:shd w:val="clear" w:color="000000" w:fill="DCE6F1"/>
            <w:noWrap/>
            <w:vAlign w:val="center"/>
          </w:tcPr>
          <w:p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43" w:type="dxa"/>
            <w:tcBorders>
              <w:top w:val="single" w:sz="4" w:space="0" w:color="auto"/>
              <w:left w:val="nil"/>
              <w:bottom w:val="nil"/>
              <w:right w:val="nil"/>
            </w:tcBorders>
            <w:shd w:val="clear" w:color="auto" w:fill="auto"/>
            <w:noWrap/>
            <w:vAlign w:val="bottom"/>
          </w:tcPr>
          <w:p w:rsidR="004266E9" w:rsidRPr="00711CDA" w:rsidRDefault="004266E9" w:rsidP="004D67AD">
            <w:pPr>
              <w:rPr>
                <w:rFonts w:eastAsia="Times New Roman"/>
                <w:color w:val="000000"/>
                <w:sz w:val="20"/>
                <w:szCs w:val="20"/>
                <w:lang w:eastAsia="en-GB"/>
              </w:rPr>
            </w:pPr>
          </w:p>
        </w:tc>
        <w:tc>
          <w:tcPr>
            <w:tcW w:w="2166" w:type="dxa"/>
            <w:gridSpan w:val="3"/>
            <w:tcBorders>
              <w:top w:val="single" w:sz="4" w:space="0" w:color="auto"/>
              <w:left w:val="single" w:sz="8" w:space="0" w:color="auto"/>
              <w:bottom w:val="single" w:sz="8" w:space="0" w:color="auto"/>
              <w:right w:val="single" w:sz="8" w:space="0" w:color="auto"/>
            </w:tcBorders>
            <w:shd w:val="clear" w:color="000000" w:fill="DCE6F1"/>
            <w:noWrap/>
            <w:vAlign w:val="center"/>
          </w:tcPr>
          <w:p w:rsidR="004266E9" w:rsidRPr="00BB10D7" w:rsidRDefault="004266E9" w:rsidP="004D67AD">
            <w:pPr>
              <w:rPr>
                <w:rFonts w:eastAsia="Times New Roman"/>
                <w:b/>
                <w:bCs/>
                <w:color w:val="000000"/>
                <w:sz w:val="20"/>
                <w:szCs w:val="20"/>
                <w:lang w:eastAsia="en-GB"/>
              </w:rPr>
            </w:pPr>
            <w:r w:rsidRPr="00BB10D7">
              <w:rPr>
                <w:rFonts w:eastAsia="Times New Roman"/>
                <w:b/>
                <w:bCs/>
                <w:color w:val="000000"/>
                <w:sz w:val="20"/>
                <w:szCs w:val="20"/>
                <w:lang w:eastAsia="en-GB"/>
              </w:rPr>
              <w:t>Religion</w:t>
            </w:r>
          </w:p>
        </w:tc>
        <w:tc>
          <w:tcPr>
            <w:tcW w:w="1358" w:type="dxa"/>
            <w:tcBorders>
              <w:top w:val="single" w:sz="4" w:space="0" w:color="auto"/>
              <w:left w:val="nil"/>
              <w:bottom w:val="single" w:sz="8" w:space="0" w:color="auto"/>
              <w:right w:val="single" w:sz="8" w:space="0" w:color="auto"/>
            </w:tcBorders>
            <w:shd w:val="clear" w:color="000000" w:fill="DCE6F1"/>
            <w:noWrap/>
            <w:vAlign w:val="center"/>
          </w:tcPr>
          <w:p w:rsidR="004266E9" w:rsidRPr="00BB10D7" w:rsidRDefault="004266E9" w:rsidP="004D67AD">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75" w:type="dxa"/>
            <w:tcBorders>
              <w:top w:val="single" w:sz="4" w:space="0" w:color="auto"/>
              <w:left w:val="nil"/>
              <w:bottom w:val="single" w:sz="8" w:space="0" w:color="auto"/>
              <w:right w:val="single" w:sz="8" w:space="0" w:color="auto"/>
            </w:tcBorders>
            <w:shd w:val="clear" w:color="000000" w:fill="DCE6F1"/>
            <w:noWrap/>
            <w:vAlign w:val="center"/>
          </w:tcPr>
          <w:p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r>
      <w:tr w:rsidR="00BB009B"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Atheist/Humanist/no beliefs</w:t>
            </w:r>
          </w:p>
        </w:tc>
        <w:tc>
          <w:tcPr>
            <w:tcW w:w="1355"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20.73</w:t>
            </w:r>
          </w:p>
        </w:tc>
        <w:tc>
          <w:tcPr>
            <w:tcW w:w="1000"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260</w:t>
            </w:r>
          </w:p>
        </w:tc>
        <w:tc>
          <w:tcPr>
            <w:tcW w:w="282" w:type="dxa"/>
            <w:gridSpan w:val="2"/>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Atheist/Humanist/no beliefs</w:t>
            </w:r>
          </w:p>
        </w:tc>
        <w:tc>
          <w:tcPr>
            <w:tcW w:w="1334"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21.19</w:t>
            </w:r>
          </w:p>
        </w:tc>
        <w:tc>
          <w:tcPr>
            <w:tcW w:w="1066"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278</w:t>
            </w:r>
          </w:p>
        </w:tc>
        <w:tc>
          <w:tcPr>
            <w:tcW w:w="243" w:type="dxa"/>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Atheist/Humanist/no beliefs</w:t>
            </w:r>
          </w:p>
        </w:tc>
        <w:tc>
          <w:tcPr>
            <w:tcW w:w="1358"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22.87</w:t>
            </w:r>
          </w:p>
        </w:tc>
        <w:tc>
          <w:tcPr>
            <w:tcW w:w="1075"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304</w:t>
            </w:r>
          </w:p>
        </w:tc>
      </w:tr>
      <w:tr w:rsidR="00BB009B"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Buddhist</w:t>
            </w:r>
          </w:p>
        </w:tc>
        <w:tc>
          <w:tcPr>
            <w:tcW w:w="1355"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0.32</w:t>
            </w:r>
          </w:p>
        </w:tc>
        <w:tc>
          <w:tcPr>
            <w:tcW w:w="1000"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4</w:t>
            </w:r>
          </w:p>
        </w:tc>
        <w:tc>
          <w:tcPr>
            <w:tcW w:w="282" w:type="dxa"/>
            <w:gridSpan w:val="2"/>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Buddhist</w:t>
            </w:r>
          </w:p>
        </w:tc>
        <w:tc>
          <w:tcPr>
            <w:tcW w:w="1334"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0.30</w:t>
            </w:r>
          </w:p>
        </w:tc>
        <w:tc>
          <w:tcPr>
            <w:tcW w:w="1066"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4</w:t>
            </w:r>
          </w:p>
        </w:tc>
        <w:tc>
          <w:tcPr>
            <w:tcW w:w="243" w:type="dxa"/>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Buddhist</w:t>
            </w:r>
          </w:p>
        </w:tc>
        <w:tc>
          <w:tcPr>
            <w:tcW w:w="1358"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0.23</w:t>
            </w:r>
          </w:p>
        </w:tc>
        <w:tc>
          <w:tcPr>
            <w:tcW w:w="1075"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3</w:t>
            </w:r>
          </w:p>
        </w:tc>
      </w:tr>
      <w:tr w:rsidR="00BB009B"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Catholic</w:t>
            </w:r>
          </w:p>
        </w:tc>
        <w:tc>
          <w:tcPr>
            <w:tcW w:w="1355"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5.58</w:t>
            </w:r>
          </w:p>
        </w:tc>
        <w:tc>
          <w:tcPr>
            <w:tcW w:w="1000"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70</w:t>
            </w:r>
          </w:p>
        </w:tc>
        <w:tc>
          <w:tcPr>
            <w:tcW w:w="282" w:type="dxa"/>
            <w:gridSpan w:val="2"/>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Catholic</w:t>
            </w:r>
          </w:p>
        </w:tc>
        <w:tc>
          <w:tcPr>
            <w:tcW w:w="1334"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6.48</w:t>
            </w:r>
          </w:p>
        </w:tc>
        <w:tc>
          <w:tcPr>
            <w:tcW w:w="1066"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85</w:t>
            </w:r>
          </w:p>
        </w:tc>
        <w:tc>
          <w:tcPr>
            <w:tcW w:w="243" w:type="dxa"/>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Catholic</w:t>
            </w:r>
          </w:p>
        </w:tc>
        <w:tc>
          <w:tcPr>
            <w:tcW w:w="1358"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6.70</w:t>
            </w:r>
          </w:p>
        </w:tc>
        <w:tc>
          <w:tcPr>
            <w:tcW w:w="1075"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89</w:t>
            </w:r>
          </w:p>
        </w:tc>
      </w:tr>
      <w:tr w:rsidR="00BB009B"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Christian</w:t>
            </w:r>
          </w:p>
        </w:tc>
        <w:tc>
          <w:tcPr>
            <w:tcW w:w="1355"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26.56</w:t>
            </w:r>
          </w:p>
        </w:tc>
        <w:tc>
          <w:tcPr>
            <w:tcW w:w="1000"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333</w:t>
            </w:r>
          </w:p>
        </w:tc>
        <w:tc>
          <w:tcPr>
            <w:tcW w:w="282" w:type="dxa"/>
            <w:gridSpan w:val="2"/>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Christian</w:t>
            </w:r>
          </w:p>
        </w:tc>
        <w:tc>
          <w:tcPr>
            <w:tcW w:w="1334"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27.59</w:t>
            </w:r>
          </w:p>
        </w:tc>
        <w:tc>
          <w:tcPr>
            <w:tcW w:w="1066"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362</w:t>
            </w:r>
          </w:p>
        </w:tc>
        <w:tc>
          <w:tcPr>
            <w:tcW w:w="243" w:type="dxa"/>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Christian</w:t>
            </w:r>
          </w:p>
        </w:tc>
        <w:tc>
          <w:tcPr>
            <w:tcW w:w="1358"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27.92</w:t>
            </w:r>
          </w:p>
        </w:tc>
        <w:tc>
          <w:tcPr>
            <w:tcW w:w="1075"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371</w:t>
            </w:r>
          </w:p>
        </w:tc>
      </w:tr>
      <w:tr w:rsidR="00BB009B"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Hindu</w:t>
            </w:r>
          </w:p>
        </w:tc>
        <w:tc>
          <w:tcPr>
            <w:tcW w:w="1355"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0.40</w:t>
            </w:r>
          </w:p>
        </w:tc>
        <w:tc>
          <w:tcPr>
            <w:tcW w:w="1000"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5</w:t>
            </w:r>
          </w:p>
        </w:tc>
        <w:tc>
          <w:tcPr>
            <w:tcW w:w="282" w:type="dxa"/>
            <w:gridSpan w:val="2"/>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Hindu</w:t>
            </w:r>
          </w:p>
        </w:tc>
        <w:tc>
          <w:tcPr>
            <w:tcW w:w="1334"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0.53</w:t>
            </w:r>
          </w:p>
        </w:tc>
        <w:tc>
          <w:tcPr>
            <w:tcW w:w="1066"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7</w:t>
            </w:r>
          </w:p>
        </w:tc>
        <w:tc>
          <w:tcPr>
            <w:tcW w:w="243" w:type="dxa"/>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Hindu</w:t>
            </w:r>
          </w:p>
        </w:tc>
        <w:tc>
          <w:tcPr>
            <w:tcW w:w="1358"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0.60</w:t>
            </w:r>
          </w:p>
        </w:tc>
        <w:tc>
          <w:tcPr>
            <w:tcW w:w="1075"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8</w:t>
            </w:r>
          </w:p>
        </w:tc>
      </w:tr>
      <w:tr w:rsidR="00BB009B"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Jewish</w:t>
            </w:r>
          </w:p>
        </w:tc>
        <w:tc>
          <w:tcPr>
            <w:tcW w:w="1355"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0.08</w:t>
            </w:r>
          </w:p>
        </w:tc>
        <w:tc>
          <w:tcPr>
            <w:tcW w:w="1000"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1</w:t>
            </w:r>
          </w:p>
        </w:tc>
        <w:tc>
          <w:tcPr>
            <w:tcW w:w="282" w:type="dxa"/>
            <w:gridSpan w:val="2"/>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Jewish</w:t>
            </w:r>
          </w:p>
        </w:tc>
        <w:tc>
          <w:tcPr>
            <w:tcW w:w="1334"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0.08</w:t>
            </w:r>
          </w:p>
        </w:tc>
        <w:tc>
          <w:tcPr>
            <w:tcW w:w="1066"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1</w:t>
            </w:r>
          </w:p>
        </w:tc>
        <w:tc>
          <w:tcPr>
            <w:tcW w:w="243" w:type="dxa"/>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Jewish</w:t>
            </w:r>
          </w:p>
        </w:tc>
        <w:tc>
          <w:tcPr>
            <w:tcW w:w="1358"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0.08</w:t>
            </w:r>
          </w:p>
        </w:tc>
        <w:tc>
          <w:tcPr>
            <w:tcW w:w="1075"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1</w:t>
            </w:r>
          </w:p>
        </w:tc>
      </w:tr>
      <w:tr w:rsidR="00BB009B"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Muslim</w:t>
            </w:r>
          </w:p>
        </w:tc>
        <w:tc>
          <w:tcPr>
            <w:tcW w:w="1355"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1.04</w:t>
            </w:r>
          </w:p>
        </w:tc>
        <w:tc>
          <w:tcPr>
            <w:tcW w:w="1000"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13</w:t>
            </w:r>
          </w:p>
        </w:tc>
        <w:tc>
          <w:tcPr>
            <w:tcW w:w="282" w:type="dxa"/>
            <w:gridSpan w:val="2"/>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Muslim</w:t>
            </w:r>
          </w:p>
        </w:tc>
        <w:tc>
          <w:tcPr>
            <w:tcW w:w="1334"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1.37</w:t>
            </w:r>
          </w:p>
        </w:tc>
        <w:tc>
          <w:tcPr>
            <w:tcW w:w="1066"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18</w:t>
            </w:r>
          </w:p>
        </w:tc>
        <w:tc>
          <w:tcPr>
            <w:tcW w:w="243" w:type="dxa"/>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Muslim</w:t>
            </w:r>
          </w:p>
        </w:tc>
        <w:tc>
          <w:tcPr>
            <w:tcW w:w="1358"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1.28</w:t>
            </w:r>
          </w:p>
        </w:tc>
        <w:tc>
          <w:tcPr>
            <w:tcW w:w="1075"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17</w:t>
            </w:r>
          </w:p>
        </w:tc>
      </w:tr>
      <w:tr w:rsidR="00BB009B"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Other</w:t>
            </w:r>
          </w:p>
        </w:tc>
        <w:tc>
          <w:tcPr>
            <w:tcW w:w="1355"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2.63</w:t>
            </w:r>
          </w:p>
        </w:tc>
        <w:tc>
          <w:tcPr>
            <w:tcW w:w="1000"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33</w:t>
            </w:r>
          </w:p>
        </w:tc>
        <w:tc>
          <w:tcPr>
            <w:tcW w:w="282" w:type="dxa"/>
            <w:gridSpan w:val="2"/>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Other</w:t>
            </w:r>
          </w:p>
        </w:tc>
        <w:tc>
          <w:tcPr>
            <w:tcW w:w="1334"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2.52</w:t>
            </w:r>
          </w:p>
        </w:tc>
        <w:tc>
          <w:tcPr>
            <w:tcW w:w="1066"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33</w:t>
            </w:r>
          </w:p>
        </w:tc>
        <w:tc>
          <w:tcPr>
            <w:tcW w:w="243" w:type="dxa"/>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Other</w:t>
            </w:r>
          </w:p>
        </w:tc>
        <w:tc>
          <w:tcPr>
            <w:tcW w:w="1358"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3.69</w:t>
            </w:r>
          </w:p>
        </w:tc>
        <w:tc>
          <w:tcPr>
            <w:tcW w:w="1075"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49</w:t>
            </w:r>
          </w:p>
        </w:tc>
      </w:tr>
      <w:tr w:rsidR="00BB009B"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Prefer not to say</w:t>
            </w:r>
          </w:p>
        </w:tc>
        <w:tc>
          <w:tcPr>
            <w:tcW w:w="1355"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6.30</w:t>
            </w:r>
          </w:p>
        </w:tc>
        <w:tc>
          <w:tcPr>
            <w:tcW w:w="1000"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79</w:t>
            </w:r>
          </w:p>
        </w:tc>
        <w:tc>
          <w:tcPr>
            <w:tcW w:w="282" w:type="dxa"/>
            <w:gridSpan w:val="2"/>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Prefer not to say</w:t>
            </w:r>
          </w:p>
        </w:tc>
        <w:tc>
          <w:tcPr>
            <w:tcW w:w="1334"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6.71</w:t>
            </w:r>
          </w:p>
        </w:tc>
        <w:tc>
          <w:tcPr>
            <w:tcW w:w="1066"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88</w:t>
            </w:r>
          </w:p>
        </w:tc>
        <w:tc>
          <w:tcPr>
            <w:tcW w:w="243" w:type="dxa"/>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Prefer not to say</w:t>
            </w:r>
          </w:p>
        </w:tc>
        <w:tc>
          <w:tcPr>
            <w:tcW w:w="1358"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6.85</w:t>
            </w:r>
          </w:p>
        </w:tc>
        <w:tc>
          <w:tcPr>
            <w:tcW w:w="1075"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91</w:t>
            </w:r>
          </w:p>
        </w:tc>
      </w:tr>
      <w:tr w:rsidR="00BB009B" w:rsidRPr="002A3204" w:rsidTr="004266E9">
        <w:trPr>
          <w:gridAfter w:val="1"/>
          <w:wAfter w:w="820" w:type="dxa"/>
          <w:trHeight w:val="315"/>
        </w:trPr>
        <w:tc>
          <w:tcPr>
            <w:tcW w:w="2116" w:type="dxa"/>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Sikh</w:t>
            </w:r>
          </w:p>
        </w:tc>
        <w:tc>
          <w:tcPr>
            <w:tcW w:w="1355"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0.16</w:t>
            </w:r>
          </w:p>
        </w:tc>
        <w:tc>
          <w:tcPr>
            <w:tcW w:w="1000" w:type="dxa"/>
            <w:tcBorders>
              <w:top w:val="nil"/>
              <w:left w:val="nil"/>
              <w:bottom w:val="single" w:sz="8"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2</w:t>
            </w:r>
          </w:p>
        </w:tc>
        <w:tc>
          <w:tcPr>
            <w:tcW w:w="282" w:type="dxa"/>
            <w:gridSpan w:val="2"/>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Sikh</w:t>
            </w:r>
          </w:p>
        </w:tc>
        <w:tc>
          <w:tcPr>
            <w:tcW w:w="1334"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0.23</w:t>
            </w:r>
          </w:p>
        </w:tc>
        <w:tc>
          <w:tcPr>
            <w:tcW w:w="1066" w:type="dxa"/>
            <w:tcBorders>
              <w:top w:val="nil"/>
              <w:left w:val="nil"/>
              <w:bottom w:val="single" w:sz="8"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3</w:t>
            </w:r>
          </w:p>
        </w:tc>
        <w:tc>
          <w:tcPr>
            <w:tcW w:w="243" w:type="dxa"/>
            <w:tcBorders>
              <w:top w:val="nil"/>
              <w:left w:val="nil"/>
              <w:bottom w:val="nil"/>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8"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Sikh</w:t>
            </w:r>
          </w:p>
        </w:tc>
        <w:tc>
          <w:tcPr>
            <w:tcW w:w="1358"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0.23</w:t>
            </w:r>
          </w:p>
        </w:tc>
        <w:tc>
          <w:tcPr>
            <w:tcW w:w="1075" w:type="dxa"/>
            <w:tcBorders>
              <w:top w:val="nil"/>
              <w:left w:val="nil"/>
              <w:bottom w:val="single" w:sz="8"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3</w:t>
            </w:r>
          </w:p>
        </w:tc>
      </w:tr>
      <w:tr w:rsidR="00BB009B" w:rsidRPr="002A3204" w:rsidTr="004266E9">
        <w:trPr>
          <w:gridAfter w:val="1"/>
          <w:wAfter w:w="820" w:type="dxa"/>
          <w:trHeight w:val="315"/>
        </w:trPr>
        <w:tc>
          <w:tcPr>
            <w:tcW w:w="2116" w:type="dxa"/>
            <w:tcBorders>
              <w:top w:val="nil"/>
              <w:left w:val="single" w:sz="8" w:space="0" w:color="auto"/>
              <w:bottom w:val="single" w:sz="4"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Not specified</w:t>
            </w:r>
          </w:p>
        </w:tc>
        <w:tc>
          <w:tcPr>
            <w:tcW w:w="1355" w:type="dxa"/>
            <w:tcBorders>
              <w:top w:val="nil"/>
              <w:left w:val="nil"/>
              <w:bottom w:val="single" w:sz="4"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36.20</w:t>
            </w:r>
          </w:p>
        </w:tc>
        <w:tc>
          <w:tcPr>
            <w:tcW w:w="1000" w:type="dxa"/>
            <w:tcBorders>
              <w:top w:val="nil"/>
              <w:left w:val="nil"/>
              <w:bottom w:val="single" w:sz="4" w:space="0" w:color="auto"/>
              <w:right w:val="single" w:sz="8" w:space="0" w:color="auto"/>
            </w:tcBorders>
            <w:shd w:val="clear" w:color="auto" w:fill="auto"/>
            <w:noWrap/>
            <w:vAlign w:val="center"/>
          </w:tcPr>
          <w:p w:rsidR="00BB009B" w:rsidRPr="00BB10D7" w:rsidRDefault="00BB009B" w:rsidP="004D67AD">
            <w:pPr>
              <w:jc w:val="center"/>
              <w:rPr>
                <w:rFonts w:eastAsia="Times New Roman"/>
                <w:color w:val="000000"/>
                <w:sz w:val="20"/>
                <w:szCs w:val="20"/>
                <w:lang w:eastAsia="en-GB"/>
              </w:rPr>
            </w:pPr>
            <w:r w:rsidRPr="00BB10D7">
              <w:rPr>
                <w:rFonts w:eastAsia="Times New Roman"/>
                <w:color w:val="000000"/>
                <w:sz w:val="20"/>
                <w:szCs w:val="20"/>
                <w:lang w:eastAsia="en-GB"/>
              </w:rPr>
              <w:t>454</w:t>
            </w:r>
          </w:p>
        </w:tc>
        <w:tc>
          <w:tcPr>
            <w:tcW w:w="282" w:type="dxa"/>
            <w:gridSpan w:val="2"/>
            <w:tcBorders>
              <w:top w:val="nil"/>
              <w:left w:val="nil"/>
              <w:bottom w:val="single" w:sz="4" w:space="0" w:color="auto"/>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95" w:type="dxa"/>
            <w:gridSpan w:val="2"/>
            <w:tcBorders>
              <w:top w:val="nil"/>
              <w:left w:val="single" w:sz="8" w:space="0" w:color="auto"/>
              <w:bottom w:val="single" w:sz="4"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Not specified</w:t>
            </w:r>
          </w:p>
        </w:tc>
        <w:tc>
          <w:tcPr>
            <w:tcW w:w="1334" w:type="dxa"/>
            <w:tcBorders>
              <w:top w:val="nil"/>
              <w:left w:val="nil"/>
              <w:bottom w:val="single" w:sz="4"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33.00</w:t>
            </w:r>
          </w:p>
        </w:tc>
        <w:tc>
          <w:tcPr>
            <w:tcW w:w="1066" w:type="dxa"/>
            <w:tcBorders>
              <w:top w:val="nil"/>
              <w:left w:val="nil"/>
              <w:bottom w:val="single" w:sz="4" w:space="0" w:color="auto"/>
              <w:right w:val="single" w:sz="8" w:space="0" w:color="auto"/>
            </w:tcBorders>
            <w:shd w:val="clear" w:color="auto" w:fill="auto"/>
            <w:noWrap/>
            <w:vAlign w:val="center"/>
          </w:tcPr>
          <w:p w:rsidR="00BB009B" w:rsidRDefault="00BB009B" w:rsidP="00765A36">
            <w:pPr>
              <w:jc w:val="center"/>
              <w:rPr>
                <w:color w:val="000000"/>
                <w:sz w:val="20"/>
                <w:szCs w:val="20"/>
              </w:rPr>
            </w:pPr>
            <w:r>
              <w:rPr>
                <w:color w:val="000000"/>
                <w:sz w:val="20"/>
                <w:szCs w:val="20"/>
              </w:rPr>
              <w:t>433</w:t>
            </w:r>
          </w:p>
        </w:tc>
        <w:tc>
          <w:tcPr>
            <w:tcW w:w="243" w:type="dxa"/>
            <w:tcBorders>
              <w:top w:val="nil"/>
              <w:left w:val="nil"/>
              <w:bottom w:val="single" w:sz="4" w:space="0" w:color="auto"/>
              <w:right w:val="nil"/>
            </w:tcBorders>
            <w:shd w:val="clear" w:color="auto" w:fill="auto"/>
            <w:noWrap/>
            <w:vAlign w:val="bottom"/>
          </w:tcPr>
          <w:p w:rsidR="00BB009B" w:rsidRPr="00711CDA" w:rsidRDefault="00BB009B" w:rsidP="004D67AD">
            <w:pPr>
              <w:rPr>
                <w:rFonts w:eastAsia="Times New Roman"/>
                <w:color w:val="000000"/>
                <w:sz w:val="20"/>
                <w:szCs w:val="20"/>
                <w:lang w:eastAsia="en-GB"/>
              </w:rPr>
            </w:pPr>
          </w:p>
        </w:tc>
        <w:tc>
          <w:tcPr>
            <w:tcW w:w="2166" w:type="dxa"/>
            <w:gridSpan w:val="3"/>
            <w:tcBorders>
              <w:top w:val="nil"/>
              <w:left w:val="single" w:sz="8" w:space="0" w:color="auto"/>
              <w:bottom w:val="single" w:sz="4" w:space="0" w:color="auto"/>
              <w:right w:val="single" w:sz="8" w:space="0" w:color="auto"/>
            </w:tcBorders>
            <w:shd w:val="clear" w:color="auto" w:fill="auto"/>
            <w:noWrap/>
            <w:vAlign w:val="center"/>
          </w:tcPr>
          <w:p w:rsidR="00BB009B" w:rsidRPr="00BB10D7" w:rsidRDefault="00BB009B" w:rsidP="004D67AD">
            <w:pPr>
              <w:rPr>
                <w:rFonts w:eastAsia="Times New Roman"/>
                <w:color w:val="000000"/>
                <w:sz w:val="20"/>
                <w:szCs w:val="20"/>
                <w:lang w:eastAsia="en-GB"/>
              </w:rPr>
            </w:pPr>
            <w:r w:rsidRPr="00BB10D7">
              <w:rPr>
                <w:rFonts w:eastAsia="Times New Roman"/>
                <w:color w:val="000000"/>
                <w:sz w:val="20"/>
                <w:szCs w:val="20"/>
                <w:lang w:eastAsia="en-GB"/>
              </w:rPr>
              <w:t>Not specified</w:t>
            </w:r>
          </w:p>
        </w:tc>
        <w:tc>
          <w:tcPr>
            <w:tcW w:w="1358" w:type="dxa"/>
            <w:tcBorders>
              <w:top w:val="nil"/>
              <w:left w:val="nil"/>
              <w:bottom w:val="single" w:sz="4"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29.57</w:t>
            </w:r>
          </w:p>
        </w:tc>
        <w:tc>
          <w:tcPr>
            <w:tcW w:w="1075" w:type="dxa"/>
            <w:tcBorders>
              <w:top w:val="nil"/>
              <w:left w:val="nil"/>
              <w:bottom w:val="single" w:sz="4" w:space="0" w:color="auto"/>
              <w:right w:val="single" w:sz="8" w:space="0" w:color="auto"/>
            </w:tcBorders>
            <w:shd w:val="clear" w:color="auto" w:fill="auto"/>
            <w:noWrap/>
            <w:vAlign w:val="center"/>
          </w:tcPr>
          <w:p w:rsidR="00BB009B" w:rsidRDefault="00BB009B" w:rsidP="00BB009B">
            <w:pPr>
              <w:jc w:val="center"/>
              <w:rPr>
                <w:color w:val="000000"/>
                <w:sz w:val="20"/>
                <w:szCs w:val="20"/>
              </w:rPr>
            </w:pPr>
            <w:r>
              <w:rPr>
                <w:color w:val="000000"/>
                <w:sz w:val="20"/>
                <w:szCs w:val="20"/>
              </w:rPr>
              <w:t>393</w:t>
            </w:r>
          </w:p>
        </w:tc>
      </w:tr>
      <w:tr w:rsidR="004266E9" w:rsidRPr="002A3204" w:rsidTr="004266E9">
        <w:trPr>
          <w:gridAfter w:val="1"/>
          <w:wAfter w:w="820" w:type="dxa"/>
          <w:trHeight w:val="315"/>
        </w:trPr>
        <w:tc>
          <w:tcPr>
            <w:tcW w:w="2116" w:type="dxa"/>
            <w:tcBorders>
              <w:top w:val="single" w:sz="4" w:space="0" w:color="auto"/>
              <w:left w:val="single" w:sz="8" w:space="0" w:color="auto"/>
              <w:bottom w:val="single" w:sz="8" w:space="0" w:color="auto"/>
              <w:right w:val="single" w:sz="8" w:space="0" w:color="auto"/>
            </w:tcBorders>
            <w:shd w:val="clear" w:color="auto" w:fill="DAEEF3" w:themeFill="accent5" w:themeFillTint="33"/>
            <w:noWrap/>
            <w:vAlign w:val="center"/>
          </w:tcPr>
          <w:p w:rsidR="004266E9" w:rsidRPr="00A21AA8" w:rsidRDefault="004266E9" w:rsidP="004D67AD">
            <w:pPr>
              <w:rPr>
                <w:rFonts w:eastAsia="Times New Roman"/>
                <w:b/>
                <w:bCs/>
                <w:color w:val="000000"/>
                <w:sz w:val="22"/>
                <w:szCs w:val="22"/>
                <w:lang w:eastAsia="en-GB"/>
              </w:rPr>
            </w:pPr>
            <w:r w:rsidRPr="00A21AA8">
              <w:rPr>
                <w:rFonts w:eastAsia="Times New Roman"/>
                <w:b/>
                <w:bCs/>
                <w:color w:val="000000"/>
                <w:sz w:val="22"/>
                <w:szCs w:val="22"/>
                <w:lang w:eastAsia="en-GB"/>
              </w:rPr>
              <w:t>Total</w:t>
            </w:r>
          </w:p>
        </w:tc>
        <w:tc>
          <w:tcPr>
            <w:tcW w:w="1355"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r>
              <w:rPr>
                <w:rFonts w:eastAsia="Times New Roman"/>
                <w:b/>
                <w:bCs/>
                <w:color w:val="000000"/>
                <w:sz w:val="20"/>
                <w:szCs w:val="20"/>
                <w:lang w:eastAsia="en-GB"/>
              </w:rPr>
              <w:t>%</w:t>
            </w:r>
          </w:p>
        </w:tc>
        <w:tc>
          <w:tcPr>
            <w:tcW w:w="1000"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1254</w:t>
            </w:r>
          </w:p>
        </w:tc>
        <w:tc>
          <w:tcPr>
            <w:tcW w:w="282" w:type="dxa"/>
            <w:gridSpan w:val="2"/>
            <w:tcBorders>
              <w:top w:val="single" w:sz="4" w:space="0" w:color="auto"/>
              <w:left w:val="nil"/>
              <w:bottom w:val="nil"/>
              <w:right w:val="nil"/>
            </w:tcBorders>
            <w:shd w:val="clear" w:color="auto" w:fill="auto"/>
            <w:noWrap/>
            <w:vAlign w:val="bottom"/>
          </w:tcPr>
          <w:p w:rsidR="004266E9" w:rsidRPr="00711CDA" w:rsidRDefault="004266E9" w:rsidP="004D67AD">
            <w:pPr>
              <w:rPr>
                <w:rFonts w:eastAsia="Times New Roman"/>
                <w:color w:val="000000"/>
                <w:sz w:val="20"/>
                <w:szCs w:val="20"/>
                <w:lang w:eastAsia="en-GB"/>
              </w:rPr>
            </w:pPr>
          </w:p>
        </w:tc>
        <w:tc>
          <w:tcPr>
            <w:tcW w:w="2195" w:type="dxa"/>
            <w:gridSpan w:val="2"/>
            <w:tcBorders>
              <w:top w:val="single" w:sz="4" w:space="0" w:color="auto"/>
              <w:left w:val="single" w:sz="8" w:space="0" w:color="auto"/>
              <w:bottom w:val="single" w:sz="8" w:space="0" w:color="auto"/>
              <w:right w:val="single" w:sz="8" w:space="0" w:color="auto"/>
            </w:tcBorders>
            <w:shd w:val="clear" w:color="auto" w:fill="DAEEF3" w:themeFill="accent5" w:themeFillTint="33"/>
            <w:noWrap/>
            <w:vAlign w:val="center"/>
          </w:tcPr>
          <w:p w:rsidR="004266E9" w:rsidRPr="00711CDA" w:rsidRDefault="004266E9" w:rsidP="004D67AD">
            <w:pPr>
              <w:rPr>
                <w:rFonts w:eastAsia="Times New Roman"/>
                <w:b/>
                <w:bCs/>
                <w:color w:val="000000"/>
                <w:sz w:val="20"/>
                <w:szCs w:val="20"/>
                <w:lang w:eastAsia="en-GB"/>
              </w:rPr>
            </w:pPr>
            <w:r w:rsidRPr="00711CDA">
              <w:rPr>
                <w:rFonts w:eastAsia="Times New Roman"/>
                <w:b/>
                <w:bCs/>
                <w:color w:val="000000"/>
                <w:sz w:val="20"/>
                <w:szCs w:val="20"/>
                <w:lang w:eastAsia="en-GB"/>
              </w:rPr>
              <w:t>Total</w:t>
            </w:r>
          </w:p>
        </w:tc>
        <w:tc>
          <w:tcPr>
            <w:tcW w:w="1334"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p>
        </w:tc>
        <w:tc>
          <w:tcPr>
            <w:tcW w:w="1066"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4266E9" w:rsidRPr="00711CDA" w:rsidRDefault="00B06ABF" w:rsidP="004D67AD">
            <w:pPr>
              <w:jc w:val="center"/>
              <w:rPr>
                <w:rFonts w:eastAsia="Times New Roman"/>
                <w:b/>
                <w:bCs/>
                <w:color w:val="000000"/>
                <w:sz w:val="20"/>
                <w:szCs w:val="20"/>
                <w:lang w:eastAsia="en-GB"/>
              </w:rPr>
            </w:pPr>
            <w:r>
              <w:rPr>
                <w:rFonts w:eastAsia="Times New Roman"/>
                <w:b/>
                <w:bCs/>
                <w:color w:val="000000"/>
                <w:sz w:val="20"/>
                <w:szCs w:val="20"/>
                <w:lang w:eastAsia="en-GB"/>
              </w:rPr>
              <w:t>1312</w:t>
            </w:r>
          </w:p>
        </w:tc>
        <w:tc>
          <w:tcPr>
            <w:tcW w:w="243" w:type="dxa"/>
            <w:tcBorders>
              <w:top w:val="single" w:sz="4" w:space="0" w:color="auto"/>
              <w:left w:val="nil"/>
              <w:bottom w:val="nil"/>
              <w:right w:val="nil"/>
            </w:tcBorders>
            <w:shd w:val="clear" w:color="auto" w:fill="auto"/>
            <w:noWrap/>
            <w:vAlign w:val="bottom"/>
          </w:tcPr>
          <w:p w:rsidR="004266E9" w:rsidRPr="00711CDA" w:rsidRDefault="004266E9" w:rsidP="004D67AD">
            <w:pPr>
              <w:rPr>
                <w:rFonts w:eastAsia="Times New Roman"/>
                <w:color w:val="000000"/>
                <w:sz w:val="20"/>
                <w:szCs w:val="20"/>
                <w:lang w:eastAsia="en-GB"/>
              </w:rPr>
            </w:pPr>
          </w:p>
        </w:tc>
        <w:tc>
          <w:tcPr>
            <w:tcW w:w="2166" w:type="dxa"/>
            <w:gridSpan w:val="3"/>
            <w:tcBorders>
              <w:top w:val="single" w:sz="4" w:space="0" w:color="auto"/>
              <w:left w:val="single" w:sz="8" w:space="0" w:color="auto"/>
              <w:bottom w:val="single" w:sz="8" w:space="0" w:color="auto"/>
              <w:right w:val="single" w:sz="8" w:space="0" w:color="auto"/>
            </w:tcBorders>
            <w:shd w:val="clear" w:color="auto" w:fill="DAEEF3" w:themeFill="accent5" w:themeFillTint="33"/>
            <w:noWrap/>
            <w:vAlign w:val="center"/>
          </w:tcPr>
          <w:p w:rsidR="004266E9" w:rsidRPr="00711CDA" w:rsidRDefault="004266E9" w:rsidP="004D67AD">
            <w:pPr>
              <w:rPr>
                <w:rFonts w:eastAsia="Times New Roman"/>
                <w:b/>
                <w:bCs/>
                <w:color w:val="000000"/>
                <w:sz w:val="20"/>
                <w:szCs w:val="20"/>
                <w:lang w:eastAsia="en-GB"/>
              </w:rPr>
            </w:pPr>
            <w:r w:rsidRPr="00711CDA">
              <w:rPr>
                <w:rFonts w:eastAsia="Times New Roman"/>
                <w:b/>
                <w:bCs/>
                <w:color w:val="000000"/>
                <w:sz w:val="20"/>
                <w:szCs w:val="20"/>
                <w:lang w:eastAsia="en-GB"/>
              </w:rPr>
              <w:t>Total</w:t>
            </w:r>
          </w:p>
        </w:tc>
        <w:tc>
          <w:tcPr>
            <w:tcW w:w="1358"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4266E9" w:rsidRPr="00711CDA" w:rsidRDefault="004266E9" w:rsidP="004D67AD">
            <w:pPr>
              <w:jc w:val="center"/>
              <w:rPr>
                <w:rFonts w:eastAsia="Times New Roman"/>
                <w:b/>
                <w:bCs/>
                <w:color w:val="000000"/>
                <w:sz w:val="20"/>
                <w:szCs w:val="20"/>
                <w:lang w:eastAsia="en-GB"/>
              </w:rPr>
            </w:pPr>
            <w:r w:rsidRPr="00711CDA">
              <w:rPr>
                <w:rFonts w:eastAsia="Times New Roman"/>
                <w:b/>
                <w:bCs/>
                <w:color w:val="000000"/>
                <w:sz w:val="20"/>
                <w:szCs w:val="20"/>
                <w:lang w:eastAsia="en-GB"/>
              </w:rPr>
              <w:t>100%</w:t>
            </w:r>
          </w:p>
        </w:tc>
        <w:tc>
          <w:tcPr>
            <w:tcW w:w="1075" w:type="dxa"/>
            <w:tcBorders>
              <w:top w:val="single" w:sz="4" w:space="0" w:color="auto"/>
              <w:left w:val="nil"/>
              <w:bottom w:val="single" w:sz="8" w:space="0" w:color="auto"/>
              <w:right w:val="single" w:sz="8" w:space="0" w:color="auto"/>
            </w:tcBorders>
            <w:shd w:val="clear" w:color="auto" w:fill="DAEEF3" w:themeFill="accent5" w:themeFillTint="33"/>
            <w:noWrap/>
            <w:vAlign w:val="center"/>
          </w:tcPr>
          <w:p w:rsidR="004266E9" w:rsidRPr="00711CDA" w:rsidRDefault="00BB009B" w:rsidP="004D67AD">
            <w:pPr>
              <w:jc w:val="center"/>
              <w:rPr>
                <w:rFonts w:eastAsia="Times New Roman"/>
                <w:b/>
                <w:bCs/>
                <w:color w:val="000000"/>
                <w:sz w:val="20"/>
                <w:szCs w:val="20"/>
                <w:lang w:eastAsia="en-GB"/>
              </w:rPr>
            </w:pPr>
            <w:r>
              <w:rPr>
                <w:rFonts w:eastAsia="Times New Roman"/>
                <w:b/>
                <w:bCs/>
                <w:color w:val="000000"/>
                <w:sz w:val="20"/>
                <w:szCs w:val="20"/>
                <w:lang w:eastAsia="en-GB"/>
              </w:rPr>
              <w:t>1329</w:t>
            </w:r>
          </w:p>
        </w:tc>
      </w:tr>
    </w:tbl>
    <w:p w:rsidR="00BB10D7" w:rsidRDefault="00BB10D7" w:rsidP="008A22C6">
      <w:pPr>
        <w:rPr>
          <w:szCs w:val="22"/>
        </w:rPr>
      </w:pPr>
    </w:p>
    <w:p w:rsidR="004266E9" w:rsidRPr="000540D8" w:rsidRDefault="004266E9" w:rsidP="008A22C6">
      <w:pPr>
        <w:rPr>
          <w:szCs w:val="22"/>
        </w:rPr>
      </w:pPr>
      <w:r w:rsidRPr="000540D8">
        <w:rPr>
          <w:b/>
          <w:szCs w:val="22"/>
        </w:rPr>
        <w:t xml:space="preserve">Commentary: </w:t>
      </w:r>
      <w:r w:rsidRPr="000540D8">
        <w:rPr>
          <w:szCs w:val="22"/>
        </w:rPr>
        <w:t xml:space="preserve">The proportion of members of staff who consider </w:t>
      </w:r>
      <w:proofErr w:type="gramStart"/>
      <w:r w:rsidRPr="000540D8">
        <w:rPr>
          <w:szCs w:val="22"/>
        </w:rPr>
        <w:t>themselves</w:t>
      </w:r>
      <w:proofErr w:type="gramEnd"/>
      <w:r w:rsidRPr="000540D8">
        <w:rPr>
          <w:szCs w:val="22"/>
        </w:rPr>
        <w:t xml:space="preserve"> to be atheist or have no religion has increased since March 2016. </w:t>
      </w:r>
      <w:r w:rsidR="00312667" w:rsidRPr="000540D8">
        <w:rPr>
          <w:szCs w:val="22"/>
        </w:rPr>
        <w:t xml:space="preserve">The numbers of staff </w:t>
      </w:r>
      <w:r w:rsidRPr="000540D8">
        <w:rPr>
          <w:szCs w:val="22"/>
        </w:rPr>
        <w:t xml:space="preserve">Christian or Catholic has increased steadily since 2015/16 to circa </w:t>
      </w:r>
      <w:r w:rsidR="00D9754F">
        <w:rPr>
          <w:szCs w:val="22"/>
        </w:rPr>
        <w:t>33</w:t>
      </w:r>
      <w:r w:rsidRPr="000540D8">
        <w:rPr>
          <w:szCs w:val="22"/>
        </w:rPr>
        <w:t>% of the workforce.</w:t>
      </w:r>
    </w:p>
    <w:p w:rsidR="00312667" w:rsidRPr="000540D8" w:rsidRDefault="00312667" w:rsidP="008A22C6">
      <w:pPr>
        <w:rPr>
          <w:szCs w:val="22"/>
        </w:rPr>
      </w:pPr>
    </w:p>
    <w:p w:rsidR="00312667" w:rsidRPr="00B00819" w:rsidRDefault="00312667" w:rsidP="008A22C6">
      <w:pPr>
        <w:rPr>
          <w:szCs w:val="22"/>
        </w:rPr>
      </w:pPr>
      <w:r w:rsidRPr="000540D8">
        <w:rPr>
          <w:szCs w:val="22"/>
        </w:rPr>
        <w:t xml:space="preserve">A dedicated non-denominational ‘quiet room’ is available within St </w:t>
      </w:r>
      <w:proofErr w:type="spellStart"/>
      <w:r w:rsidRPr="000540D8">
        <w:rPr>
          <w:szCs w:val="22"/>
        </w:rPr>
        <w:t>Aldate’s</w:t>
      </w:r>
      <w:proofErr w:type="spellEnd"/>
      <w:r w:rsidRPr="000540D8">
        <w:rPr>
          <w:szCs w:val="22"/>
        </w:rPr>
        <w:t xml:space="preserve"> Chambers for use by all staff as a reflective meditative space. It is also recognised that some groups have specific needs and these are addressed through commitments within the Fair Employment Policy, fl</w:t>
      </w:r>
      <w:r w:rsidR="004D67AD" w:rsidRPr="000540D8">
        <w:rPr>
          <w:szCs w:val="22"/>
        </w:rPr>
        <w:t xml:space="preserve">exible working arrangements as well as through diversity training and support from HR Business Partners to assist staff/managers planning leave. </w:t>
      </w:r>
      <w:r w:rsidR="004D67AD" w:rsidRPr="00B00819">
        <w:rPr>
          <w:szCs w:val="22"/>
        </w:rPr>
        <w:t>Details of key national and local events, such as Inter Faith Walks, are promoted through Council Matters bulletins</w:t>
      </w:r>
      <w:r w:rsidR="00AC543B">
        <w:rPr>
          <w:szCs w:val="22"/>
        </w:rPr>
        <w:t>.</w:t>
      </w:r>
    </w:p>
    <w:p w:rsidR="004D67AD" w:rsidRDefault="004D67AD">
      <w:pPr>
        <w:rPr>
          <w:b/>
          <w:szCs w:val="22"/>
        </w:rPr>
      </w:pPr>
      <w:r>
        <w:rPr>
          <w:b/>
          <w:szCs w:val="22"/>
        </w:rPr>
        <w:br w:type="page"/>
      </w:r>
    </w:p>
    <w:p w:rsidR="004D67AD" w:rsidRDefault="004D67AD" w:rsidP="008A22C6">
      <w:pPr>
        <w:rPr>
          <w:szCs w:val="22"/>
        </w:rPr>
      </w:pPr>
      <w:r>
        <w:rPr>
          <w:b/>
          <w:szCs w:val="22"/>
        </w:rPr>
        <w:lastRenderedPageBreak/>
        <w:t>Living in Central Oxford vs. Living outside Central Oxford profile:</w:t>
      </w:r>
    </w:p>
    <w:p w:rsidR="004D67AD" w:rsidRDefault="004D67AD" w:rsidP="008A22C6">
      <w:pPr>
        <w:rPr>
          <w:szCs w:val="22"/>
        </w:rPr>
      </w:pPr>
    </w:p>
    <w:tbl>
      <w:tblPr>
        <w:tblW w:w="12206" w:type="dxa"/>
        <w:tblInd w:w="93" w:type="dxa"/>
        <w:tblLook w:val="04A0" w:firstRow="1" w:lastRow="0" w:firstColumn="1" w:lastColumn="0" w:noHBand="0" w:noVBand="1"/>
      </w:tblPr>
      <w:tblGrid>
        <w:gridCol w:w="1673"/>
        <w:gridCol w:w="1296"/>
        <w:gridCol w:w="794"/>
        <w:gridCol w:w="400"/>
        <w:gridCol w:w="1673"/>
        <w:gridCol w:w="1296"/>
        <w:gridCol w:w="794"/>
        <w:gridCol w:w="400"/>
        <w:gridCol w:w="1673"/>
        <w:gridCol w:w="1296"/>
        <w:gridCol w:w="911"/>
      </w:tblGrid>
      <w:tr w:rsidR="004D67AD" w:rsidRPr="004D67AD" w:rsidTr="0051303C">
        <w:trPr>
          <w:trHeight w:val="315"/>
        </w:trPr>
        <w:tc>
          <w:tcPr>
            <w:tcW w:w="3763" w:type="dxa"/>
            <w:gridSpan w:val="3"/>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b/>
                <w:bCs/>
                <w:color w:val="000000"/>
                <w:lang w:eastAsia="en-GB"/>
              </w:rPr>
            </w:pPr>
            <w:r w:rsidRPr="004D67AD">
              <w:rPr>
                <w:rFonts w:ascii="Calibri" w:eastAsia="Times New Roman" w:hAnsi="Calibri" w:cs="Times New Roman"/>
                <w:b/>
                <w:bCs/>
                <w:color w:val="000000"/>
                <w:lang w:eastAsia="en-GB"/>
              </w:rPr>
              <w:t>As at 31/03/16</w:t>
            </w:r>
          </w:p>
        </w:tc>
        <w:tc>
          <w:tcPr>
            <w:tcW w:w="400"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lang w:eastAsia="en-GB"/>
              </w:rPr>
            </w:pPr>
          </w:p>
        </w:tc>
        <w:tc>
          <w:tcPr>
            <w:tcW w:w="3763" w:type="dxa"/>
            <w:gridSpan w:val="3"/>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b/>
                <w:bCs/>
                <w:color w:val="000000"/>
                <w:lang w:eastAsia="en-GB"/>
              </w:rPr>
            </w:pPr>
            <w:r w:rsidRPr="004D67AD">
              <w:rPr>
                <w:rFonts w:ascii="Calibri" w:eastAsia="Times New Roman" w:hAnsi="Calibri" w:cs="Times New Roman"/>
                <w:b/>
                <w:bCs/>
                <w:color w:val="000000"/>
                <w:lang w:eastAsia="en-GB"/>
              </w:rPr>
              <w:t>As at 31/03/17</w:t>
            </w:r>
          </w:p>
        </w:tc>
        <w:tc>
          <w:tcPr>
            <w:tcW w:w="400"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lang w:eastAsia="en-GB"/>
              </w:rPr>
            </w:pPr>
          </w:p>
        </w:tc>
        <w:tc>
          <w:tcPr>
            <w:tcW w:w="3880" w:type="dxa"/>
            <w:gridSpan w:val="3"/>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b/>
                <w:bCs/>
                <w:color w:val="000000"/>
                <w:lang w:eastAsia="en-GB"/>
              </w:rPr>
            </w:pPr>
            <w:r w:rsidRPr="004D67AD">
              <w:rPr>
                <w:rFonts w:ascii="Calibri" w:eastAsia="Times New Roman" w:hAnsi="Calibri" w:cs="Times New Roman"/>
                <w:b/>
                <w:bCs/>
                <w:color w:val="000000"/>
                <w:lang w:eastAsia="en-GB"/>
              </w:rPr>
              <w:t>As at 31/03/18</w:t>
            </w:r>
          </w:p>
        </w:tc>
      </w:tr>
      <w:tr w:rsidR="004D67AD" w:rsidRPr="004D67AD" w:rsidTr="0051303C">
        <w:trPr>
          <w:trHeight w:val="315"/>
        </w:trPr>
        <w:tc>
          <w:tcPr>
            <w:tcW w:w="1673"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296" w:type="dxa"/>
            <w:tcBorders>
              <w:top w:val="nil"/>
              <w:left w:val="nil"/>
              <w:bottom w:val="nil"/>
              <w:right w:val="nil"/>
            </w:tcBorders>
            <w:shd w:val="clear" w:color="auto" w:fill="auto"/>
            <w:noWrap/>
            <w:vAlign w:val="bottom"/>
            <w:hideMark/>
          </w:tcPr>
          <w:p w:rsidR="004D67AD" w:rsidRPr="004D67AD" w:rsidRDefault="004D67AD" w:rsidP="004D67AD">
            <w:pPr>
              <w:jc w:val="center"/>
              <w:rPr>
                <w:rFonts w:ascii="Calibri" w:eastAsia="Times New Roman" w:hAnsi="Calibri" w:cs="Times New Roman"/>
                <w:color w:val="000000"/>
                <w:sz w:val="22"/>
                <w:szCs w:val="22"/>
                <w:lang w:eastAsia="en-GB"/>
              </w:rPr>
            </w:pPr>
          </w:p>
        </w:tc>
        <w:tc>
          <w:tcPr>
            <w:tcW w:w="794" w:type="dxa"/>
            <w:tcBorders>
              <w:top w:val="nil"/>
              <w:left w:val="nil"/>
              <w:bottom w:val="nil"/>
              <w:right w:val="nil"/>
            </w:tcBorders>
            <w:shd w:val="clear" w:color="auto" w:fill="auto"/>
            <w:noWrap/>
            <w:vAlign w:val="bottom"/>
            <w:hideMark/>
          </w:tcPr>
          <w:p w:rsidR="004D67AD" w:rsidRPr="004D67AD" w:rsidRDefault="004D67AD" w:rsidP="004D67AD">
            <w:pPr>
              <w:jc w:val="center"/>
              <w:rPr>
                <w:rFonts w:ascii="Calibri" w:eastAsia="Times New Roman" w:hAnsi="Calibri" w:cs="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673"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296" w:type="dxa"/>
            <w:tcBorders>
              <w:top w:val="nil"/>
              <w:left w:val="nil"/>
              <w:bottom w:val="nil"/>
              <w:right w:val="nil"/>
            </w:tcBorders>
            <w:shd w:val="clear" w:color="auto" w:fill="auto"/>
            <w:noWrap/>
            <w:vAlign w:val="bottom"/>
            <w:hideMark/>
          </w:tcPr>
          <w:p w:rsidR="004D67AD" w:rsidRPr="004D67AD" w:rsidRDefault="004D67AD" w:rsidP="004D67AD">
            <w:pPr>
              <w:jc w:val="center"/>
              <w:rPr>
                <w:rFonts w:ascii="Calibri" w:eastAsia="Times New Roman" w:hAnsi="Calibri" w:cs="Times New Roman"/>
                <w:color w:val="000000"/>
                <w:sz w:val="22"/>
                <w:szCs w:val="22"/>
                <w:lang w:eastAsia="en-GB"/>
              </w:rPr>
            </w:pPr>
          </w:p>
        </w:tc>
        <w:tc>
          <w:tcPr>
            <w:tcW w:w="794" w:type="dxa"/>
            <w:tcBorders>
              <w:top w:val="nil"/>
              <w:left w:val="nil"/>
              <w:bottom w:val="nil"/>
              <w:right w:val="nil"/>
            </w:tcBorders>
            <w:shd w:val="clear" w:color="auto" w:fill="auto"/>
            <w:noWrap/>
            <w:vAlign w:val="bottom"/>
            <w:hideMark/>
          </w:tcPr>
          <w:p w:rsidR="004D67AD" w:rsidRPr="004D67AD" w:rsidRDefault="004D67AD" w:rsidP="004D67AD">
            <w:pPr>
              <w:jc w:val="center"/>
              <w:rPr>
                <w:rFonts w:ascii="Calibri" w:eastAsia="Times New Roman" w:hAnsi="Calibri" w:cs="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673"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296" w:type="dxa"/>
            <w:tcBorders>
              <w:top w:val="nil"/>
              <w:left w:val="nil"/>
              <w:bottom w:val="nil"/>
              <w:right w:val="nil"/>
            </w:tcBorders>
            <w:shd w:val="clear" w:color="auto" w:fill="auto"/>
            <w:noWrap/>
            <w:vAlign w:val="bottom"/>
            <w:hideMark/>
          </w:tcPr>
          <w:p w:rsidR="004D67AD" w:rsidRPr="004D67AD" w:rsidRDefault="004D67AD" w:rsidP="004D67AD">
            <w:pPr>
              <w:jc w:val="center"/>
              <w:rPr>
                <w:rFonts w:ascii="Calibri" w:eastAsia="Times New Roman" w:hAnsi="Calibri" w:cs="Times New Roman"/>
                <w:color w:val="000000"/>
                <w:sz w:val="22"/>
                <w:szCs w:val="22"/>
                <w:lang w:eastAsia="en-GB"/>
              </w:rPr>
            </w:pPr>
          </w:p>
        </w:tc>
        <w:tc>
          <w:tcPr>
            <w:tcW w:w="911" w:type="dxa"/>
            <w:tcBorders>
              <w:top w:val="nil"/>
              <w:left w:val="nil"/>
              <w:bottom w:val="nil"/>
              <w:right w:val="nil"/>
            </w:tcBorders>
            <w:shd w:val="clear" w:color="auto" w:fill="auto"/>
            <w:noWrap/>
            <w:vAlign w:val="bottom"/>
            <w:hideMark/>
          </w:tcPr>
          <w:p w:rsidR="004D67AD" w:rsidRPr="004D67AD" w:rsidRDefault="004D67AD" w:rsidP="004D67AD">
            <w:pPr>
              <w:jc w:val="center"/>
              <w:rPr>
                <w:rFonts w:ascii="Calibri" w:eastAsia="Times New Roman" w:hAnsi="Calibri" w:cs="Times New Roman"/>
                <w:color w:val="000000"/>
                <w:sz w:val="22"/>
                <w:szCs w:val="22"/>
                <w:lang w:eastAsia="en-GB"/>
              </w:rPr>
            </w:pPr>
          </w:p>
        </w:tc>
      </w:tr>
      <w:tr w:rsidR="004D67AD" w:rsidRPr="004D67AD" w:rsidTr="0051303C">
        <w:trPr>
          <w:trHeight w:val="315"/>
        </w:trPr>
        <w:tc>
          <w:tcPr>
            <w:tcW w:w="1673"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4D67AD" w:rsidRPr="004D67AD" w:rsidRDefault="004D67AD" w:rsidP="004D67AD">
            <w:pPr>
              <w:rPr>
                <w:rFonts w:eastAsia="Times New Roman"/>
                <w:b/>
                <w:bCs/>
                <w:color w:val="000000"/>
                <w:sz w:val="20"/>
                <w:szCs w:val="20"/>
                <w:lang w:eastAsia="en-GB"/>
              </w:rPr>
            </w:pPr>
            <w:r w:rsidRPr="004D67AD">
              <w:rPr>
                <w:rFonts w:eastAsia="Times New Roman"/>
                <w:b/>
                <w:bCs/>
                <w:color w:val="000000"/>
                <w:sz w:val="20"/>
                <w:szCs w:val="20"/>
                <w:lang w:eastAsia="en-GB"/>
              </w:rPr>
              <w:t>Central Oxford</w:t>
            </w:r>
          </w:p>
        </w:tc>
        <w:tc>
          <w:tcPr>
            <w:tcW w:w="1296"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4D67AD" w:rsidRDefault="004D67AD" w:rsidP="004D67AD">
            <w:pPr>
              <w:jc w:val="center"/>
              <w:rPr>
                <w:rFonts w:eastAsia="Times New Roman"/>
                <w:b/>
                <w:bCs/>
                <w:color w:val="000000"/>
                <w:sz w:val="20"/>
                <w:szCs w:val="20"/>
                <w:lang w:eastAsia="en-GB"/>
              </w:rPr>
            </w:pPr>
            <w:r w:rsidRPr="004D67AD">
              <w:rPr>
                <w:rFonts w:eastAsia="Times New Roman"/>
                <w:b/>
                <w:bCs/>
                <w:color w:val="000000"/>
                <w:sz w:val="20"/>
                <w:szCs w:val="20"/>
                <w:lang w:eastAsia="en-GB"/>
              </w:rPr>
              <w:t>Percentage</w:t>
            </w:r>
          </w:p>
        </w:tc>
        <w:tc>
          <w:tcPr>
            <w:tcW w:w="794"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4D67AD" w:rsidRDefault="004D67AD" w:rsidP="004D67AD">
            <w:pPr>
              <w:jc w:val="center"/>
              <w:rPr>
                <w:rFonts w:eastAsia="Times New Roman"/>
                <w:b/>
                <w:bCs/>
                <w:color w:val="000000"/>
                <w:sz w:val="20"/>
                <w:szCs w:val="20"/>
                <w:lang w:eastAsia="en-GB"/>
              </w:rPr>
            </w:pPr>
            <w:r w:rsidRPr="004D67AD">
              <w:rPr>
                <w:rFonts w:eastAsia="Times New Roman"/>
                <w:b/>
                <w:bCs/>
                <w:color w:val="000000"/>
                <w:sz w:val="20"/>
                <w:szCs w:val="20"/>
                <w:lang w:eastAsia="en-GB"/>
              </w:rPr>
              <w:t>Count</w:t>
            </w:r>
          </w:p>
        </w:tc>
        <w:tc>
          <w:tcPr>
            <w:tcW w:w="400"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673"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4D67AD" w:rsidRPr="004D67AD" w:rsidRDefault="004D67AD" w:rsidP="004D67AD">
            <w:pPr>
              <w:rPr>
                <w:rFonts w:eastAsia="Times New Roman"/>
                <w:b/>
                <w:bCs/>
                <w:color w:val="000000"/>
                <w:sz w:val="20"/>
                <w:szCs w:val="20"/>
                <w:lang w:eastAsia="en-GB"/>
              </w:rPr>
            </w:pPr>
            <w:r w:rsidRPr="004D67AD">
              <w:rPr>
                <w:rFonts w:eastAsia="Times New Roman"/>
                <w:b/>
                <w:bCs/>
                <w:color w:val="000000"/>
                <w:sz w:val="20"/>
                <w:szCs w:val="20"/>
                <w:lang w:eastAsia="en-GB"/>
              </w:rPr>
              <w:t>Central Oxford</w:t>
            </w:r>
          </w:p>
        </w:tc>
        <w:tc>
          <w:tcPr>
            <w:tcW w:w="1296"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4D67AD" w:rsidRDefault="004D67AD" w:rsidP="004D67AD">
            <w:pPr>
              <w:jc w:val="center"/>
              <w:rPr>
                <w:rFonts w:eastAsia="Times New Roman"/>
                <w:b/>
                <w:bCs/>
                <w:color w:val="000000"/>
                <w:sz w:val="20"/>
                <w:szCs w:val="20"/>
                <w:lang w:eastAsia="en-GB"/>
              </w:rPr>
            </w:pPr>
            <w:r w:rsidRPr="004D67AD">
              <w:rPr>
                <w:rFonts w:eastAsia="Times New Roman"/>
                <w:b/>
                <w:bCs/>
                <w:color w:val="000000"/>
                <w:sz w:val="20"/>
                <w:szCs w:val="20"/>
                <w:lang w:eastAsia="en-GB"/>
              </w:rPr>
              <w:t>Percentage</w:t>
            </w:r>
          </w:p>
        </w:tc>
        <w:tc>
          <w:tcPr>
            <w:tcW w:w="794"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4D67AD" w:rsidRDefault="004D67AD" w:rsidP="004D67AD">
            <w:pPr>
              <w:jc w:val="center"/>
              <w:rPr>
                <w:rFonts w:eastAsia="Times New Roman"/>
                <w:b/>
                <w:bCs/>
                <w:color w:val="000000"/>
                <w:sz w:val="20"/>
                <w:szCs w:val="20"/>
                <w:lang w:eastAsia="en-GB"/>
              </w:rPr>
            </w:pPr>
            <w:r w:rsidRPr="004D67AD">
              <w:rPr>
                <w:rFonts w:eastAsia="Times New Roman"/>
                <w:b/>
                <w:bCs/>
                <w:color w:val="000000"/>
                <w:sz w:val="20"/>
                <w:szCs w:val="20"/>
                <w:lang w:eastAsia="en-GB"/>
              </w:rPr>
              <w:t>Count</w:t>
            </w:r>
          </w:p>
        </w:tc>
        <w:tc>
          <w:tcPr>
            <w:tcW w:w="400"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673"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4D67AD" w:rsidRPr="004D67AD" w:rsidRDefault="004D67AD" w:rsidP="004D67AD">
            <w:pPr>
              <w:rPr>
                <w:rFonts w:eastAsia="Times New Roman"/>
                <w:b/>
                <w:bCs/>
                <w:color w:val="000000"/>
                <w:sz w:val="20"/>
                <w:szCs w:val="20"/>
                <w:lang w:eastAsia="en-GB"/>
              </w:rPr>
            </w:pPr>
            <w:r w:rsidRPr="004D67AD">
              <w:rPr>
                <w:rFonts w:eastAsia="Times New Roman"/>
                <w:b/>
                <w:bCs/>
                <w:color w:val="000000"/>
                <w:sz w:val="20"/>
                <w:szCs w:val="20"/>
                <w:lang w:eastAsia="en-GB"/>
              </w:rPr>
              <w:t>Central Oxford</w:t>
            </w:r>
          </w:p>
        </w:tc>
        <w:tc>
          <w:tcPr>
            <w:tcW w:w="1296"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4D67AD" w:rsidRDefault="004D67AD" w:rsidP="004D67AD">
            <w:pPr>
              <w:jc w:val="center"/>
              <w:rPr>
                <w:rFonts w:eastAsia="Times New Roman"/>
                <w:b/>
                <w:bCs/>
                <w:color w:val="000000"/>
                <w:sz w:val="20"/>
                <w:szCs w:val="20"/>
                <w:lang w:eastAsia="en-GB"/>
              </w:rPr>
            </w:pPr>
            <w:r w:rsidRPr="004D67AD">
              <w:rPr>
                <w:rFonts w:eastAsia="Times New Roman"/>
                <w:b/>
                <w:bCs/>
                <w:color w:val="000000"/>
                <w:sz w:val="20"/>
                <w:szCs w:val="20"/>
                <w:lang w:eastAsia="en-GB"/>
              </w:rPr>
              <w:t>Percentage</w:t>
            </w:r>
          </w:p>
        </w:tc>
        <w:tc>
          <w:tcPr>
            <w:tcW w:w="911" w:type="dxa"/>
            <w:tcBorders>
              <w:top w:val="single" w:sz="8" w:space="0" w:color="auto"/>
              <w:left w:val="nil"/>
              <w:bottom w:val="single" w:sz="8" w:space="0" w:color="auto"/>
              <w:right w:val="single" w:sz="8" w:space="0" w:color="auto"/>
            </w:tcBorders>
            <w:shd w:val="clear" w:color="000000" w:fill="DCE6F1"/>
            <w:noWrap/>
            <w:vAlign w:val="center"/>
            <w:hideMark/>
          </w:tcPr>
          <w:p w:rsidR="004D67AD" w:rsidRPr="004D67AD" w:rsidRDefault="004D67AD" w:rsidP="004D67AD">
            <w:pPr>
              <w:jc w:val="center"/>
              <w:rPr>
                <w:rFonts w:eastAsia="Times New Roman"/>
                <w:b/>
                <w:bCs/>
                <w:color w:val="000000"/>
                <w:sz w:val="20"/>
                <w:szCs w:val="20"/>
                <w:lang w:eastAsia="en-GB"/>
              </w:rPr>
            </w:pPr>
            <w:r w:rsidRPr="004D67AD">
              <w:rPr>
                <w:rFonts w:eastAsia="Times New Roman"/>
                <w:b/>
                <w:bCs/>
                <w:color w:val="000000"/>
                <w:sz w:val="20"/>
                <w:szCs w:val="20"/>
                <w:lang w:eastAsia="en-GB"/>
              </w:rPr>
              <w:t>Count</w:t>
            </w:r>
          </w:p>
        </w:tc>
      </w:tr>
      <w:tr w:rsidR="004D67AD" w:rsidRPr="004D67AD" w:rsidTr="0051303C">
        <w:trPr>
          <w:trHeight w:val="315"/>
        </w:trPr>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4D67AD" w:rsidRPr="004D67AD" w:rsidRDefault="004D67AD" w:rsidP="004D67AD">
            <w:pPr>
              <w:rPr>
                <w:rFonts w:eastAsia="Times New Roman"/>
                <w:color w:val="000000"/>
                <w:sz w:val="20"/>
                <w:szCs w:val="20"/>
                <w:lang w:eastAsia="en-GB"/>
              </w:rPr>
            </w:pPr>
            <w:r w:rsidRPr="004D67AD">
              <w:rPr>
                <w:rFonts w:eastAsia="Times New Roman"/>
                <w:color w:val="000000"/>
                <w:sz w:val="20"/>
                <w:szCs w:val="20"/>
                <w:lang w:eastAsia="en-GB"/>
              </w:rPr>
              <w:t>Central</w:t>
            </w:r>
          </w:p>
        </w:tc>
        <w:tc>
          <w:tcPr>
            <w:tcW w:w="1296" w:type="dxa"/>
            <w:tcBorders>
              <w:top w:val="nil"/>
              <w:left w:val="nil"/>
              <w:bottom w:val="single" w:sz="8" w:space="0" w:color="auto"/>
              <w:right w:val="single" w:sz="8" w:space="0" w:color="auto"/>
            </w:tcBorders>
            <w:shd w:val="clear" w:color="auto" w:fill="auto"/>
            <w:noWrap/>
            <w:vAlign w:val="center"/>
            <w:hideMark/>
          </w:tcPr>
          <w:p w:rsidR="004D67AD" w:rsidRPr="004D67AD" w:rsidRDefault="004D67AD" w:rsidP="004D67AD">
            <w:pPr>
              <w:jc w:val="center"/>
              <w:rPr>
                <w:rFonts w:eastAsia="Times New Roman"/>
                <w:color w:val="000000"/>
                <w:sz w:val="20"/>
                <w:szCs w:val="20"/>
                <w:lang w:eastAsia="en-GB"/>
              </w:rPr>
            </w:pPr>
            <w:r w:rsidRPr="004D67AD">
              <w:rPr>
                <w:rFonts w:eastAsia="Times New Roman"/>
                <w:color w:val="000000"/>
                <w:sz w:val="20"/>
                <w:szCs w:val="20"/>
                <w:lang w:eastAsia="en-GB"/>
              </w:rPr>
              <w:t>45.30</w:t>
            </w:r>
          </w:p>
        </w:tc>
        <w:tc>
          <w:tcPr>
            <w:tcW w:w="794" w:type="dxa"/>
            <w:tcBorders>
              <w:top w:val="nil"/>
              <w:left w:val="nil"/>
              <w:bottom w:val="single" w:sz="8" w:space="0" w:color="auto"/>
              <w:right w:val="single" w:sz="8" w:space="0" w:color="auto"/>
            </w:tcBorders>
            <w:shd w:val="clear" w:color="auto" w:fill="auto"/>
            <w:noWrap/>
            <w:vAlign w:val="center"/>
            <w:hideMark/>
          </w:tcPr>
          <w:p w:rsidR="004D67AD" w:rsidRPr="004D67AD" w:rsidRDefault="004D67AD" w:rsidP="004D67AD">
            <w:pPr>
              <w:jc w:val="center"/>
              <w:rPr>
                <w:rFonts w:eastAsia="Times New Roman"/>
                <w:color w:val="000000"/>
                <w:sz w:val="20"/>
                <w:szCs w:val="20"/>
                <w:lang w:eastAsia="en-GB"/>
              </w:rPr>
            </w:pPr>
            <w:r w:rsidRPr="004D67AD">
              <w:rPr>
                <w:rFonts w:eastAsia="Times New Roman"/>
                <w:color w:val="000000"/>
                <w:sz w:val="20"/>
                <w:szCs w:val="20"/>
                <w:lang w:eastAsia="en-GB"/>
              </w:rPr>
              <w:t>568</w:t>
            </w:r>
          </w:p>
        </w:tc>
        <w:tc>
          <w:tcPr>
            <w:tcW w:w="400"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4D67AD" w:rsidRPr="004D67AD" w:rsidRDefault="004D67AD" w:rsidP="004D67AD">
            <w:pPr>
              <w:rPr>
                <w:rFonts w:eastAsia="Times New Roman"/>
                <w:color w:val="000000"/>
                <w:sz w:val="20"/>
                <w:szCs w:val="20"/>
                <w:lang w:eastAsia="en-GB"/>
              </w:rPr>
            </w:pPr>
            <w:r w:rsidRPr="004D67AD">
              <w:rPr>
                <w:rFonts w:eastAsia="Times New Roman"/>
                <w:color w:val="000000"/>
                <w:sz w:val="20"/>
                <w:szCs w:val="20"/>
                <w:lang w:eastAsia="en-GB"/>
              </w:rPr>
              <w:t>Central</w:t>
            </w:r>
          </w:p>
        </w:tc>
        <w:tc>
          <w:tcPr>
            <w:tcW w:w="1296" w:type="dxa"/>
            <w:tcBorders>
              <w:top w:val="nil"/>
              <w:left w:val="nil"/>
              <w:bottom w:val="single" w:sz="8" w:space="0" w:color="auto"/>
              <w:right w:val="single" w:sz="8" w:space="0" w:color="auto"/>
            </w:tcBorders>
            <w:shd w:val="clear" w:color="auto" w:fill="auto"/>
            <w:noWrap/>
            <w:vAlign w:val="center"/>
            <w:hideMark/>
          </w:tcPr>
          <w:p w:rsidR="004D67AD" w:rsidRPr="004D67AD" w:rsidRDefault="004D67AD" w:rsidP="00F070F8">
            <w:pPr>
              <w:jc w:val="center"/>
              <w:rPr>
                <w:rFonts w:eastAsia="Times New Roman"/>
                <w:color w:val="000000"/>
                <w:sz w:val="20"/>
                <w:szCs w:val="20"/>
                <w:lang w:eastAsia="en-GB"/>
              </w:rPr>
            </w:pPr>
            <w:r w:rsidRPr="004D67AD">
              <w:rPr>
                <w:rFonts w:eastAsia="Times New Roman"/>
                <w:color w:val="000000"/>
                <w:sz w:val="20"/>
                <w:szCs w:val="20"/>
                <w:lang w:eastAsia="en-GB"/>
              </w:rPr>
              <w:t>45.7</w:t>
            </w:r>
            <w:r w:rsidR="00F070F8">
              <w:rPr>
                <w:rFonts w:eastAsia="Times New Roman"/>
                <w:color w:val="000000"/>
                <w:sz w:val="20"/>
                <w:szCs w:val="20"/>
                <w:lang w:eastAsia="en-GB"/>
              </w:rPr>
              <w:t>3</w:t>
            </w:r>
          </w:p>
        </w:tc>
        <w:tc>
          <w:tcPr>
            <w:tcW w:w="794" w:type="dxa"/>
            <w:tcBorders>
              <w:top w:val="nil"/>
              <w:left w:val="nil"/>
              <w:bottom w:val="single" w:sz="8" w:space="0" w:color="auto"/>
              <w:right w:val="single" w:sz="8" w:space="0" w:color="auto"/>
            </w:tcBorders>
            <w:shd w:val="clear" w:color="auto" w:fill="auto"/>
            <w:noWrap/>
            <w:vAlign w:val="center"/>
            <w:hideMark/>
          </w:tcPr>
          <w:p w:rsidR="004D67AD" w:rsidRPr="004D67AD" w:rsidRDefault="004D67AD" w:rsidP="00F070F8">
            <w:pPr>
              <w:jc w:val="center"/>
              <w:rPr>
                <w:rFonts w:eastAsia="Times New Roman"/>
                <w:color w:val="000000"/>
                <w:sz w:val="20"/>
                <w:szCs w:val="20"/>
                <w:lang w:eastAsia="en-GB"/>
              </w:rPr>
            </w:pPr>
            <w:r w:rsidRPr="004D67AD">
              <w:rPr>
                <w:rFonts w:eastAsia="Times New Roman"/>
                <w:color w:val="000000"/>
                <w:sz w:val="20"/>
                <w:szCs w:val="20"/>
                <w:lang w:eastAsia="en-GB"/>
              </w:rPr>
              <w:t>60</w:t>
            </w:r>
            <w:r w:rsidR="00F070F8">
              <w:rPr>
                <w:rFonts w:eastAsia="Times New Roman"/>
                <w:color w:val="000000"/>
                <w:sz w:val="20"/>
                <w:szCs w:val="20"/>
                <w:lang w:eastAsia="en-GB"/>
              </w:rPr>
              <w:t>0</w:t>
            </w:r>
          </w:p>
        </w:tc>
        <w:tc>
          <w:tcPr>
            <w:tcW w:w="400"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4D67AD" w:rsidRPr="004D67AD" w:rsidRDefault="004D67AD" w:rsidP="004D67AD">
            <w:pPr>
              <w:rPr>
                <w:rFonts w:eastAsia="Times New Roman"/>
                <w:color w:val="000000"/>
                <w:sz w:val="20"/>
                <w:szCs w:val="20"/>
                <w:lang w:eastAsia="en-GB"/>
              </w:rPr>
            </w:pPr>
            <w:r w:rsidRPr="004D67AD">
              <w:rPr>
                <w:rFonts w:eastAsia="Times New Roman"/>
                <w:color w:val="000000"/>
                <w:sz w:val="20"/>
                <w:szCs w:val="20"/>
                <w:lang w:eastAsia="en-GB"/>
              </w:rPr>
              <w:t>Central</w:t>
            </w:r>
          </w:p>
        </w:tc>
        <w:tc>
          <w:tcPr>
            <w:tcW w:w="1296" w:type="dxa"/>
            <w:tcBorders>
              <w:top w:val="nil"/>
              <w:left w:val="nil"/>
              <w:bottom w:val="single" w:sz="8" w:space="0" w:color="auto"/>
              <w:right w:val="single" w:sz="8" w:space="0" w:color="auto"/>
            </w:tcBorders>
            <w:shd w:val="clear" w:color="auto" w:fill="auto"/>
            <w:noWrap/>
            <w:vAlign w:val="center"/>
          </w:tcPr>
          <w:p w:rsidR="004D67AD" w:rsidRPr="004D67AD" w:rsidRDefault="0051303C" w:rsidP="004D67AD">
            <w:pPr>
              <w:jc w:val="center"/>
              <w:rPr>
                <w:rFonts w:eastAsia="Times New Roman"/>
                <w:color w:val="000000"/>
                <w:sz w:val="20"/>
                <w:szCs w:val="20"/>
                <w:lang w:eastAsia="en-GB"/>
              </w:rPr>
            </w:pPr>
            <w:r>
              <w:rPr>
                <w:rFonts w:eastAsia="Times New Roman"/>
                <w:color w:val="000000"/>
                <w:sz w:val="20"/>
                <w:szCs w:val="20"/>
                <w:lang w:eastAsia="en-GB"/>
              </w:rPr>
              <w:t>44.24</w:t>
            </w:r>
          </w:p>
        </w:tc>
        <w:tc>
          <w:tcPr>
            <w:tcW w:w="911" w:type="dxa"/>
            <w:tcBorders>
              <w:top w:val="nil"/>
              <w:left w:val="nil"/>
              <w:bottom w:val="single" w:sz="8" w:space="0" w:color="auto"/>
              <w:right w:val="single" w:sz="8" w:space="0" w:color="auto"/>
            </w:tcBorders>
            <w:shd w:val="clear" w:color="auto" w:fill="auto"/>
            <w:noWrap/>
            <w:vAlign w:val="center"/>
          </w:tcPr>
          <w:p w:rsidR="004D67AD" w:rsidRPr="004D67AD" w:rsidRDefault="0051303C" w:rsidP="004D67AD">
            <w:pPr>
              <w:jc w:val="center"/>
              <w:rPr>
                <w:rFonts w:eastAsia="Times New Roman"/>
                <w:color w:val="000000"/>
                <w:sz w:val="20"/>
                <w:szCs w:val="20"/>
                <w:lang w:eastAsia="en-GB"/>
              </w:rPr>
            </w:pPr>
            <w:r>
              <w:rPr>
                <w:rFonts w:eastAsia="Times New Roman"/>
                <w:color w:val="000000"/>
                <w:sz w:val="20"/>
                <w:szCs w:val="20"/>
                <w:lang w:eastAsia="en-GB"/>
              </w:rPr>
              <w:t>588</w:t>
            </w:r>
          </w:p>
        </w:tc>
      </w:tr>
      <w:tr w:rsidR="004D67AD" w:rsidRPr="004D67AD" w:rsidTr="0051303C">
        <w:trPr>
          <w:trHeight w:val="315"/>
        </w:trPr>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4D67AD" w:rsidRPr="004D67AD" w:rsidRDefault="004D67AD" w:rsidP="004D67AD">
            <w:pPr>
              <w:rPr>
                <w:rFonts w:eastAsia="Times New Roman"/>
                <w:color w:val="000000"/>
                <w:sz w:val="20"/>
                <w:szCs w:val="20"/>
                <w:lang w:eastAsia="en-GB"/>
              </w:rPr>
            </w:pPr>
            <w:r w:rsidRPr="004D67AD">
              <w:rPr>
                <w:rFonts w:eastAsia="Times New Roman"/>
                <w:color w:val="000000"/>
                <w:sz w:val="20"/>
                <w:szCs w:val="20"/>
                <w:lang w:eastAsia="en-GB"/>
              </w:rPr>
              <w:t>Not</w:t>
            </w:r>
          </w:p>
        </w:tc>
        <w:tc>
          <w:tcPr>
            <w:tcW w:w="1296" w:type="dxa"/>
            <w:tcBorders>
              <w:top w:val="nil"/>
              <w:left w:val="nil"/>
              <w:bottom w:val="single" w:sz="8" w:space="0" w:color="auto"/>
              <w:right w:val="single" w:sz="8" w:space="0" w:color="auto"/>
            </w:tcBorders>
            <w:shd w:val="clear" w:color="auto" w:fill="auto"/>
            <w:noWrap/>
            <w:vAlign w:val="center"/>
            <w:hideMark/>
          </w:tcPr>
          <w:p w:rsidR="004D67AD" w:rsidRPr="004D67AD" w:rsidRDefault="004D67AD" w:rsidP="004D67AD">
            <w:pPr>
              <w:jc w:val="center"/>
              <w:rPr>
                <w:rFonts w:eastAsia="Times New Roman"/>
                <w:color w:val="000000"/>
                <w:sz w:val="20"/>
                <w:szCs w:val="20"/>
                <w:lang w:eastAsia="en-GB"/>
              </w:rPr>
            </w:pPr>
            <w:r w:rsidRPr="004D67AD">
              <w:rPr>
                <w:rFonts w:eastAsia="Times New Roman"/>
                <w:color w:val="000000"/>
                <w:sz w:val="20"/>
                <w:szCs w:val="20"/>
                <w:lang w:eastAsia="en-GB"/>
              </w:rPr>
              <w:t>54.70</w:t>
            </w:r>
          </w:p>
        </w:tc>
        <w:tc>
          <w:tcPr>
            <w:tcW w:w="794" w:type="dxa"/>
            <w:tcBorders>
              <w:top w:val="nil"/>
              <w:left w:val="nil"/>
              <w:bottom w:val="single" w:sz="8" w:space="0" w:color="auto"/>
              <w:right w:val="single" w:sz="8" w:space="0" w:color="auto"/>
            </w:tcBorders>
            <w:shd w:val="clear" w:color="auto" w:fill="auto"/>
            <w:noWrap/>
            <w:vAlign w:val="center"/>
            <w:hideMark/>
          </w:tcPr>
          <w:p w:rsidR="004D67AD" w:rsidRPr="004D67AD" w:rsidRDefault="004D67AD" w:rsidP="004D67AD">
            <w:pPr>
              <w:jc w:val="center"/>
              <w:rPr>
                <w:rFonts w:eastAsia="Times New Roman"/>
                <w:color w:val="000000"/>
                <w:sz w:val="20"/>
                <w:szCs w:val="20"/>
                <w:lang w:eastAsia="en-GB"/>
              </w:rPr>
            </w:pPr>
            <w:r w:rsidRPr="004D67AD">
              <w:rPr>
                <w:rFonts w:eastAsia="Times New Roman"/>
                <w:color w:val="000000"/>
                <w:sz w:val="20"/>
                <w:szCs w:val="20"/>
                <w:lang w:eastAsia="en-GB"/>
              </w:rPr>
              <w:t>686</w:t>
            </w:r>
          </w:p>
        </w:tc>
        <w:tc>
          <w:tcPr>
            <w:tcW w:w="400"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4D67AD" w:rsidRPr="004D67AD" w:rsidRDefault="004D67AD" w:rsidP="004D67AD">
            <w:pPr>
              <w:rPr>
                <w:rFonts w:eastAsia="Times New Roman"/>
                <w:color w:val="000000"/>
                <w:sz w:val="20"/>
                <w:szCs w:val="20"/>
                <w:lang w:eastAsia="en-GB"/>
              </w:rPr>
            </w:pPr>
            <w:r w:rsidRPr="004D67AD">
              <w:rPr>
                <w:rFonts w:eastAsia="Times New Roman"/>
                <w:color w:val="000000"/>
                <w:sz w:val="20"/>
                <w:szCs w:val="20"/>
                <w:lang w:eastAsia="en-GB"/>
              </w:rPr>
              <w:t>Not</w:t>
            </w:r>
          </w:p>
        </w:tc>
        <w:tc>
          <w:tcPr>
            <w:tcW w:w="1296" w:type="dxa"/>
            <w:tcBorders>
              <w:top w:val="nil"/>
              <w:left w:val="nil"/>
              <w:bottom w:val="single" w:sz="8" w:space="0" w:color="auto"/>
              <w:right w:val="single" w:sz="8" w:space="0" w:color="auto"/>
            </w:tcBorders>
            <w:shd w:val="clear" w:color="auto" w:fill="auto"/>
            <w:noWrap/>
            <w:vAlign w:val="center"/>
            <w:hideMark/>
          </w:tcPr>
          <w:p w:rsidR="004D67AD" w:rsidRPr="004D67AD" w:rsidRDefault="004D67AD" w:rsidP="00F070F8">
            <w:pPr>
              <w:jc w:val="center"/>
              <w:rPr>
                <w:rFonts w:eastAsia="Times New Roman"/>
                <w:color w:val="000000"/>
                <w:sz w:val="20"/>
                <w:szCs w:val="20"/>
                <w:lang w:eastAsia="en-GB"/>
              </w:rPr>
            </w:pPr>
            <w:r w:rsidRPr="004D67AD">
              <w:rPr>
                <w:rFonts w:eastAsia="Times New Roman"/>
                <w:color w:val="000000"/>
                <w:sz w:val="20"/>
                <w:szCs w:val="20"/>
                <w:lang w:eastAsia="en-GB"/>
              </w:rPr>
              <w:t>54.2</w:t>
            </w:r>
            <w:r w:rsidR="00F070F8">
              <w:rPr>
                <w:rFonts w:eastAsia="Times New Roman"/>
                <w:color w:val="000000"/>
                <w:sz w:val="20"/>
                <w:szCs w:val="20"/>
                <w:lang w:eastAsia="en-GB"/>
              </w:rPr>
              <w:t>7</w:t>
            </w:r>
          </w:p>
        </w:tc>
        <w:tc>
          <w:tcPr>
            <w:tcW w:w="794" w:type="dxa"/>
            <w:tcBorders>
              <w:top w:val="nil"/>
              <w:left w:val="nil"/>
              <w:bottom w:val="single" w:sz="8" w:space="0" w:color="auto"/>
              <w:right w:val="single" w:sz="8" w:space="0" w:color="auto"/>
            </w:tcBorders>
            <w:shd w:val="clear" w:color="auto" w:fill="auto"/>
            <w:noWrap/>
            <w:vAlign w:val="center"/>
            <w:hideMark/>
          </w:tcPr>
          <w:p w:rsidR="004D67AD" w:rsidRPr="004D67AD" w:rsidRDefault="004D67AD" w:rsidP="00F070F8">
            <w:pPr>
              <w:jc w:val="center"/>
              <w:rPr>
                <w:rFonts w:eastAsia="Times New Roman"/>
                <w:color w:val="000000"/>
                <w:sz w:val="20"/>
                <w:szCs w:val="20"/>
                <w:lang w:eastAsia="en-GB"/>
              </w:rPr>
            </w:pPr>
            <w:r w:rsidRPr="004D67AD">
              <w:rPr>
                <w:rFonts w:eastAsia="Times New Roman"/>
                <w:color w:val="000000"/>
                <w:sz w:val="20"/>
                <w:szCs w:val="20"/>
                <w:lang w:eastAsia="en-GB"/>
              </w:rPr>
              <w:t>71</w:t>
            </w:r>
            <w:r w:rsidR="00F070F8">
              <w:rPr>
                <w:rFonts w:eastAsia="Times New Roman"/>
                <w:color w:val="000000"/>
                <w:sz w:val="20"/>
                <w:szCs w:val="20"/>
                <w:lang w:eastAsia="en-GB"/>
              </w:rPr>
              <w:t>2</w:t>
            </w:r>
          </w:p>
        </w:tc>
        <w:tc>
          <w:tcPr>
            <w:tcW w:w="400" w:type="dxa"/>
            <w:tcBorders>
              <w:top w:val="nil"/>
              <w:left w:val="nil"/>
              <w:bottom w:val="nil"/>
              <w:right w:val="nil"/>
            </w:tcBorders>
            <w:shd w:val="clear" w:color="auto" w:fill="auto"/>
            <w:noWrap/>
            <w:vAlign w:val="bottom"/>
            <w:hideMark/>
          </w:tcPr>
          <w:p w:rsidR="004D67AD" w:rsidRPr="004D67AD" w:rsidRDefault="004D67AD" w:rsidP="004D67AD">
            <w:pPr>
              <w:rPr>
                <w:rFonts w:ascii="Calibri" w:eastAsia="Times New Roman" w:hAnsi="Calibri" w:cs="Times New Roman"/>
                <w:color w:val="000000"/>
                <w:sz w:val="22"/>
                <w:szCs w:val="22"/>
                <w:lang w:eastAsia="en-GB"/>
              </w:rPr>
            </w:pPr>
          </w:p>
        </w:tc>
        <w:tc>
          <w:tcPr>
            <w:tcW w:w="1673" w:type="dxa"/>
            <w:tcBorders>
              <w:top w:val="nil"/>
              <w:left w:val="single" w:sz="8" w:space="0" w:color="auto"/>
              <w:bottom w:val="single" w:sz="8" w:space="0" w:color="auto"/>
              <w:right w:val="single" w:sz="8" w:space="0" w:color="auto"/>
            </w:tcBorders>
            <w:shd w:val="clear" w:color="auto" w:fill="auto"/>
            <w:noWrap/>
            <w:vAlign w:val="center"/>
            <w:hideMark/>
          </w:tcPr>
          <w:p w:rsidR="004D67AD" w:rsidRPr="004D67AD" w:rsidRDefault="004D67AD" w:rsidP="004D67AD">
            <w:pPr>
              <w:rPr>
                <w:rFonts w:eastAsia="Times New Roman"/>
                <w:color w:val="000000"/>
                <w:sz w:val="20"/>
                <w:szCs w:val="20"/>
                <w:lang w:eastAsia="en-GB"/>
              </w:rPr>
            </w:pPr>
            <w:r w:rsidRPr="004D67AD">
              <w:rPr>
                <w:rFonts w:eastAsia="Times New Roman"/>
                <w:color w:val="000000"/>
                <w:sz w:val="20"/>
                <w:szCs w:val="20"/>
                <w:lang w:eastAsia="en-GB"/>
              </w:rPr>
              <w:t>Not</w:t>
            </w:r>
          </w:p>
        </w:tc>
        <w:tc>
          <w:tcPr>
            <w:tcW w:w="1296" w:type="dxa"/>
            <w:tcBorders>
              <w:top w:val="nil"/>
              <w:left w:val="nil"/>
              <w:bottom w:val="single" w:sz="8" w:space="0" w:color="auto"/>
              <w:right w:val="single" w:sz="8" w:space="0" w:color="auto"/>
            </w:tcBorders>
            <w:shd w:val="clear" w:color="auto" w:fill="auto"/>
            <w:noWrap/>
            <w:vAlign w:val="center"/>
          </w:tcPr>
          <w:p w:rsidR="004D67AD" w:rsidRPr="004D67AD" w:rsidRDefault="0051303C" w:rsidP="004D67AD">
            <w:pPr>
              <w:jc w:val="center"/>
              <w:rPr>
                <w:rFonts w:eastAsia="Times New Roman"/>
                <w:color w:val="000000"/>
                <w:sz w:val="20"/>
                <w:szCs w:val="20"/>
                <w:lang w:eastAsia="en-GB"/>
              </w:rPr>
            </w:pPr>
            <w:r>
              <w:rPr>
                <w:rFonts w:eastAsia="Times New Roman"/>
                <w:color w:val="000000"/>
                <w:sz w:val="20"/>
                <w:szCs w:val="20"/>
                <w:lang w:eastAsia="en-GB"/>
              </w:rPr>
              <w:t>55.76</w:t>
            </w:r>
          </w:p>
        </w:tc>
        <w:tc>
          <w:tcPr>
            <w:tcW w:w="911" w:type="dxa"/>
            <w:tcBorders>
              <w:top w:val="nil"/>
              <w:left w:val="nil"/>
              <w:bottom w:val="single" w:sz="8" w:space="0" w:color="auto"/>
              <w:right w:val="single" w:sz="8" w:space="0" w:color="auto"/>
            </w:tcBorders>
            <w:shd w:val="clear" w:color="auto" w:fill="auto"/>
            <w:noWrap/>
            <w:vAlign w:val="center"/>
          </w:tcPr>
          <w:p w:rsidR="004D67AD" w:rsidRPr="004D67AD" w:rsidRDefault="0051303C" w:rsidP="004D67AD">
            <w:pPr>
              <w:jc w:val="center"/>
              <w:rPr>
                <w:rFonts w:eastAsia="Times New Roman"/>
                <w:color w:val="000000"/>
                <w:sz w:val="20"/>
                <w:szCs w:val="20"/>
                <w:lang w:eastAsia="en-GB"/>
              </w:rPr>
            </w:pPr>
            <w:r>
              <w:rPr>
                <w:rFonts w:eastAsia="Times New Roman"/>
                <w:color w:val="000000"/>
                <w:sz w:val="20"/>
                <w:szCs w:val="20"/>
                <w:lang w:eastAsia="en-GB"/>
              </w:rPr>
              <w:t>741</w:t>
            </w:r>
          </w:p>
        </w:tc>
      </w:tr>
      <w:tr w:rsidR="0028396B" w:rsidRPr="004D67AD" w:rsidTr="0051303C">
        <w:trPr>
          <w:trHeight w:val="315"/>
        </w:trPr>
        <w:tc>
          <w:tcPr>
            <w:tcW w:w="1673"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296"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794" w:type="dxa"/>
            <w:tcBorders>
              <w:top w:val="nil"/>
              <w:left w:val="nil"/>
              <w:bottom w:val="single" w:sz="8" w:space="0" w:color="auto"/>
              <w:right w:val="single" w:sz="8" w:space="0" w:color="auto"/>
            </w:tcBorders>
            <w:shd w:val="clear" w:color="000000" w:fill="DCE6F1"/>
            <w:noWrap/>
            <w:vAlign w:val="center"/>
            <w:hideMark/>
          </w:tcPr>
          <w:p w:rsidR="0028396B" w:rsidRPr="004D67AD" w:rsidRDefault="0028396B" w:rsidP="004D67AD">
            <w:pPr>
              <w:jc w:val="center"/>
              <w:rPr>
                <w:rFonts w:eastAsia="Times New Roman"/>
                <w:b/>
                <w:bCs/>
                <w:color w:val="000000"/>
                <w:sz w:val="20"/>
                <w:szCs w:val="20"/>
                <w:lang w:eastAsia="en-GB"/>
              </w:rPr>
            </w:pPr>
            <w:r w:rsidRPr="004D67AD">
              <w:rPr>
                <w:rFonts w:eastAsia="Times New Roman"/>
                <w:b/>
                <w:bCs/>
                <w:color w:val="000000"/>
                <w:sz w:val="20"/>
                <w:szCs w:val="20"/>
                <w:lang w:eastAsia="en-GB"/>
              </w:rPr>
              <w:t>1254</w:t>
            </w:r>
          </w:p>
        </w:tc>
        <w:tc>
          <w:tcPr>
            <w:tcW w:w="400" w:type="dxa"/>
            <w:tcBorders>
              <w:top w:val="nil"/>
              <w:left w:val="nil"/>
              <w:bottom w:val="nil"/>
              <w:right w:val="nil"/>
            </w:tcBorders>
            <w:shd w:val="clear" w:color="auto" w:fill="auto"/>
            <w:noWrap/>
            <w:vAlign w:val="bottom"/>
            <w:hideMark/>
          </w:tcPr>
          <w:p w:rsidR="0028396B" w:rsidRPr="004D67AD" w:rsidRDefault="0028396B" w:rsidP="004D67AD">
            <w:pPr>
              <w:rPr>
                <w:rFonts w:ascii="Calibri" w:eastAsia="Times New Roman" w:hAnsi="Calibri" w:cs="Times New Roman"/>
                <w:color w:val="000000"/>
                <w:sz w:val="22"/>
                <w:szCs w:val="22"/>
                <w:lang w:eastAsia="en-GB"/>
              </w:rPr>
            </w:pPr>
          </w:p>
        </w:tc>
        <w:tc>
          <w:tcPr>
            <w:tcW w:w="1673"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296"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794" w:type="dxa"/>
            <w:tcBorders>
              <w:top w:val="nil"/>
              <w:left w:val="nil"/>
              <w:bottom w:val="single" w:sz="8" w:space="0" w:color="auto"/>
              <w:right w:val="single" w:sz="8" w:space="0" w:color="auto"/>
            </w:tcBorders>
            <w:shd w:val="clear" w:color="000000" w:fill="DCE6F1"/>
            <w:noWrap/>
            <w:vAlign w:val="center"/>
            <w:hideMark/>
          </w:tcPr>
          <w:p w:rsidR="0028396B" w:rsidRPr="004D67AD" w:rsidRDefault="00F070F8" w:rsidP="004D67AD">
            <w:pPr>
              <w:jc w:val="center"/>
              <w:rPr>
                <w:rFonts w:eastAsia="Times New Roman"/>
                <w:b/>
                <w:bCs/>
                <w:color w:val="000000"/>
                <w:sz w:val="20"/>
                <w:szCs w:val="20"/>
                <w:lang w:eastAsia="en-GB"/>
              </w:rPr>
            </w:pPr>
            <w:r>
              <w:rPr>
                <w:rFonts w:eastAsia="Times New Roman"/>
                <w:b/>
                <w:bCs/>
                <w:color w:val="000000"/>
                <w:sz w:val="20"/>
                <w:szCs w:val="20"/>
                <w:lang w:eastAsia="en-GB"/>
              </w:rPr>
              <w:t>1312</w:t>
            </w:r>
          </w:p>
        </w:tc>
        <w:tc>
          <w:tcPr>
            <w:tcW w:w="400" w:type="dxa"/>
            <w:tcBorders>
              <w:top w:val="nil"/>
              <w:left w:val="nil"/>
              <w:bottom w:val="nil"/>
              <w:right w:val="nil"/>
            </w:tcBorders>
            <w:shd w:val="clear" w:color="auto" w:fill="auto"/>
            <w:noWrap/>
            <w:vAlign w:val="bottom"/>
            <w:hideMark/>
          </w:tcPr>
          <w:p w:rsidR="0028396B" w:rsidRPr="004D67AD" w:rsidRDefault="0028396B" w:rsidP="004D67AD">
            <w:pPr>
              <w:rPr>
                <w:rFonts w:ascii="Calibri" w:eastAsia="Times New Roman" w:hAnsi="Calibri" w:cs="Times New Roman"/>
                <w:color w:val="000000"/>
                <w:sz w:val="22"/>
                <w:szCs w:val="22"/>
                <w:lang w:eastAsia="en-GB"/>
              </w:rPr>
            </w:pPr>
          </w:p>
        </w:tc>
        <w:tc>
          <w:tcPr>
            <w:tcW w:w="1673"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296"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11" w:type="dxa"/>
            <w:tcBorders>
              <w:top w:val="nil"/>
              <w:left w:val="nil"/>
              <w:bottom w:val="single" w:sz="8" w:space="0" w:color="auto"/>
              <w:right w:val="single" w:sz="8" w:space="0" w:color="auto"/>
            </w:tcBorders>
            <w:shd w:val="clear" w:color="000000" w:fill="DCE6F1"/>
            <w:noWrap/>
            <w:vAlign w:val="center"/>
            <w:hideMark/>
          </w:tcPr>
          <w:p w:rsidR="0028396B" w:rsidRPr="004D67AD" w:rsidRDefault="0051303C" w:rsidP="004D67AD">
            <w:pPr>
              <w:jc w:val="center"/>
              <w:rPr>
                <w:rFonts w:eastAsia="Times New Roman"/>
                <w:b/>
                <w:bCs/>
                <w:color w:val="000000"/>
                <w:sz w:val="20"/>
                <w:szCs w:val="20"/>
                <w:lang w:eastAsia="en-GB"/>
              </w:rPr>
            </w:pPr>
            <w:r>
              <w:rPr>
                <w:rFonts w:eastAsia="Times New Roman"/>
                <w:b/>
                <w:bCs/>
                <w:color w:val="000000"/>
                <w:sz w:val="20"/>
                <w:szCs w:val="20"/>
                <w:lang w:eastAsia="en-GB"/>
              </w:rPr>
              <w:t>1329</w:t>
            </w:r>
          </w:p>
        </w:tc>
      </w:tr>
    </w:tbl>
    <w:p w:rsidR="004D67AD" w:rsidRDefault="004D67AD" w:rsidP="008A22C6">
      <w:pPr>
        <w:rPr>
          <w:szCs w:val="22"/>
        </w:rPr>
      </w:pPr>
    </w:p>
    <w:p w:rsidR="004D67AD" w:rsidRPr="000540D8" w:rsidRDefault="004D67AD" w:rsidP="008A22C6">
      <w:pPr>
        <w:rPr>
          <w:szCs w:val="22"/>
        </w:rPr>
      </w:pPr>
      <w:r w:rsidRPr="000540D8">
        <w:rPr>
          <w:b/>
          <w:szCs w:val="22"/>
        </w:rPr>
        <w:t xml:space="preserve">Commentary: </w:t>
      </w:r>
      <w:r w:rsidRPr="000540D8">
        <w:rPr>
          <w:szCs w:val="22"/>
        </w:rPr>
        <w:t xml:space="preserve">The proportion of staff living outside the OX1 to OX4 postcode area has increased since March 2016, which reflects the fact that Oxford is the most expensive place to live in the UK outside London, as well as the Council’s ability to attract talent from </w:t>
      </w:r>
      <w:r w:rsidR="00C245C6" w:rsidRPr="000540D8">
        <w:rPr>
          <w:szCs w:val="22"/>
        </w:rPr>
        <w:t>across the country</w:t>
      </w:r>
      <w:r w:rsidR="00470FCE">
        <w:rPr>
          <w:szCs w:val="22"/>
        </w:rPr>
        <w:t xml:space="preserve"> due to its ambitious agenda and reputation</w:t>
      </w:r>
      <w:r w:rsidR="00547F62">
        <w:rPr>
          <w:szCs w:val="22"/>
        </w:rPr>
        <w:t>,</w:t>
      </w:r>
      <w:r w:rsidR="00470FCE">
        <w:rPr>
          <w:szCs w:val="22"/>
        </w:rPr>
        <w:t xml:space="preserve"> flexible working arrangements and employee benefits</w:t>
      </w:r>
      <w:r w:rsidR="00C245C6" w:rsidRPr="000540D8">
        <w:rPr>
          <w:szCs w:val="22"/>
        </w:rPr>
        <w:t xml:space="preserve">. </w:t>
      </w:r>
    </w:p>
    <w:p w:rsidR="004D67AD" w:rsidRDefault="004D67AD" w:rsidP="008A22C6">
      <w:pPr>
        <w:rPr>
          <w:color w:val="FF0000"/>
          <w:szCs w:val="22"/>
        </w:rPr>
      </w:pPr>
    </w:p>
    <w:p w:rsidR="00C245C6" w:rsidRDefault="00C245C6" w:rsidP="008A22C6">
      <w:pPr>
        <w:rPr>
          <w:color w:val="FF0000"/>
          <w:szCs w:val="22"/>
        </w:rPr>
      </w:pPr>
    </w:p>
    <w:p w:rsidR="00C245C6" w:rsidRDefault="00C245C6">
      <w:pPr>
        <w:rPr>
          <w:color w:val="FF0000"/>
          <w:szCs w:val="22"/>
        </w:rPr>
      </w:pPr>
      <w:r>
        <w:rPr>
          <w:color w:val="FF0000"/>
          <w:szCs w:val="22"/>
        </w:rPr>
        <w:br w:type="page"/>
      </w:r>
    </w:p>
    <w:p w:rsidR="00C245C6" w:rsidRDefault="00C245C6" w:rsidP="008A22C6">
      <w:pPr>
        <w:rPr>
          <w:szCs w:val="22"/>
        </w:rPr>
      </w:pPr>
      <w:r>
        <w:rPr>
          <w:b/>
          <w:szCs w:val="22"/>
        </w:rPr>
        <w:lastRenderedPageBreak/>
        <w:t>4. RECRUITMENT ACTIVITY BETWEEN 2016 AND 2018</w:t>
      </w:r>
    </w:p>
    <w:p w:rsidR="00C245C6" w:rsidRDefault="00C245C6" w:rsidP="008A22C6">
      <w:pPr>
        <w:rPr>
          <w:szCs w:val="22"/>
        </w:rPr>
      </w:pPr>
    </w:p>
    <w:p w:rsidR="001B1452" w:rsidRDefault="00793282" w:rsidP="00131BA7">
      <w:pPr>
        <w:rPr>
          <w:szCs w:val="22"/>
        </w:rPr>
      </w:pPr>
      <w:r>
        <w:rPr>
          <w:szCs w:val="22"/>
        </w:rPr>
        <w:t xml:space="preserve">The Council continues to use a variety of approaches to </w:t>
      </w:r>
      <w:r w:rsidR="001B1452">
        <w:rPr>
          <w:szCs w:val="22"/>
        </w:rPr>
        <w:t>promote job opportunities within the local community</w:t>
      </w:r>
      <w:r w:rsidR="00E11E1A">
        <w:rPr>
          <w:szCs w:val="22"/>
        </w:rPr>
        <w:t>,</w:t>
      </w:r>
      <w:r w:rsidR="001B1452">
        <w:rPr>
          <w:szCs w:val="22"/>
        </w:rPr>
        <w:t xml:space="preserve"> including: holding recruitment roadshows in local community venues; attendance at local job fairs and careers events in local schools; </w:t>
      </w:r>
      <w:r w:rsidR="00131BA7">
        <w:t>advertising suitable roles in community centre notice boards; community newspapers/magazines; local libraries and the Oxford Mail</w:t>
      </w:r>
      <w:r w:rsidR="001B1452">
        <w:rPr>
          <w:szCs w:val="22"/>
        </w:rPr>
        <w:t>; and encouraging applications for apprenticeship opportunities from the OX1 to OX4 postcode area.</w:t>
      </w:r>
      <w:r w:rsidR="00A90B02">
        <w:rPr>
          <w:szCs w:val="22"/>
        </w:rPr>
        <w:t xml:space="preserve"> </w:t>
      </w:r>
      <w:r w:rsidR="001B1452">
        <w:rPr>
          <w:szCs w:val="22"/>
        </w:rPr>
        <w:t>Staff turnover remains at around 10% per annum, which is broadly comparable with other public sector organisations.</w:t>
      </w:r>
      <w:r w:rsidR="00A90B02">
        <w:rPr>
          <w:szCs w:val="22"/>
        </w:rPr>
        <w:t xml:space="preserve"> </w:t>
      </w:r>
      <w:r w:rsidR="001B1452">
        <w:rPr>
          <w:szCs w:val="22"/>
        </w:rPr>
        <w:t>The reduction in recruitment activity volumes over the reporting period will be an issue considered as part of the review of recruitment and retention processes to be completed over the coming year</w:t>
      </w:r>
      <w:r w:rsidR="001B1452" w:rsidRPr="006E6CB8">
        <w:rPr>
          <w:szCs w:val="22"/>
        </w:rPr>
        <w:t>.</w:t>
      </w:r>
      <w:r w:rsidR="00C9119C" w:rsidRPr="006E6CB8">
        <w:rPr>
          <w:szCs w:val="22"/>
        </w:rPr>
        <w:t xml:space="preserve"> Data </w:t>
      </w:r>
      <w:r w:rsidR="00491742">
        <w:rPr>
          <w:szCs w:val="22"/>
        </w:rPr>
        <w:t xml:space="preserve">will </w:t>
      </w:r>
      <w:r w:rsidR="00C9119C" w:rsidRPr="006E6CB8">
        <w:rPr>
          <w:szCs w:val="22"/>
        </w:rPr>
        <w:t xml:space="preserve">be reviewed across the entire recruitment cycle to identify if there are any specific points areas within that cycle which need </w:t>
      </w:r>
      <w:r w:rsidR="00491742">
        <w:rPr>
          <w:szCs w:val="22"/>
        </w:rPr>
        <w:t>attention</w:t>
      </w:r>
      <w:r w:rsidR="00C9119C" w:rsidRPr="006E6CB8">
        <w:rPr>
          <w:szCs w:val="22"/>
        </w:rPr>
        <w:t>. This forms part of the action plan</w:t>
      </w:r>
      <w:r w:rsidR="00437951">
        <w:rPr>
          <w:szCs w:val="22"/>
        </w:rPr>
        <w:t>.</w:t>
      </w: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C245C6" w:rsidRPr="00C245C6" w:rsidTr="0028396B">
        <w:trPr>
          <w:trHeight w:val="315"/>
        </w:trPr>
        <w:tc>
          <w:tcPr>
            <w:tcW w:w="3652" w:type="dxa"/>
            <w:gridSpan w:val="3"/>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Recruitment activity </w:t>
            </w:r>
            <w:r w:rsidR="007230F0">
              <w:rPr>
                <w:rFonts w:ascii="Calibri" w:eastAsia="Times New Roman" w:hAnsi="Calibri" w:cs="Times New Roman"/>
                <w:b/>
                <w:bCs/>
                <w:color w:val="000000"/>
                <w:lang w:eastAsia="en-GB"/>
              </w:rPr>
              <w:t xml:space="preserve">in </w:t>
            </w:r>
            <w:r>
              <w:rPr>
                <w:rFonts w:ascii="Calibri" w:eastAsia="Times New Roman" w:hAnsi="Calibri" w:cs="Times New Roman"/>
                <w:b/>
                <w:bCs/>
                <w:color w:val="000000"/>
                <w:lang w:eastAsia="en-GB"/>
              </w:rPr>
              <w:t>2015/16</w:t>
            </w: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lang w:eastAsia="en-GB"/>
              </w:rPr>
            </w:pPr>
          </w:p>
        </w:tc>
        <w:tc>
          <w:tcPr>
            <w:tcW w:w="3652" w:type="dxa"/>
            <w:gridSpan w:val="3"/>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Recruitment activity </w:t>
            </w:r>
            <w:r w:rsidR="007230F0">
              <w:rPr>
                <w:rFonts w:ascii="Calibri" w:eastAsia="Times New Roman" w:hAnsi="Calibri" w:cs="Times New Roman"/>
                <w:b/>
                <w:bCs/>
                <w:color w:val="000000"/>
                <w:lang w:eastAsia="en-GB"/>
              </w:rPr>
              <w:t xml:space="preserve">in </w:t>
            </w:r>
            <w:r>
              <w:rPr>
                <w:rFonts w:ascii="Calibri" w:eastAsia="Times New Roman" w:hAnsi="Calibri" w:cs="Times New Roman"/>
                <w:b/>
                <w:bCs/>
                <w:color w:val="000000"/>
                <w:lang w:eastAsia="en-GB"/>
              </w:rPr>
              <w:t>2016/17</w:t>
            </w: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lang w:eastAsia="en-GB"/>
              </w:rPr>
            </w:pPr>
          </w:p>
        </w:tc>
        <w:tc>
          <w:tcPr>
            <w:tcW w:w="3652" w:type="dxa"/>
            <w:gridSpan w:val="3"/>
            <w:tcBorders>
              <w:top w:val="nil"/>
              <w:left w:val="nil"/>
              <w:bottom w:val="nil"/>
              <w:right w:val="nil"/>
            </w:tcBorders>
            <w:shd w:val="clear" w:color="auto" w:fill="auto"/>
            <w:noWrap/>
            <w:vAlign w:val="bottom"/>
            <w:hideMark/>
          </w:tcPr>
          <w:p w:rsidR="00C245C6" w:rsidRPr="00C245C6" w:rsidRDefault="00C245C6" w:rsidP="007230F0">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Recruitment activity </w:t>
            </w:r>
            <w:r w:rsidR="007230F0">
              <w:rPr>
                <w:rFonts w:ascii="Calibri" w:eastAsia="Times New Roman" w:hAnsi="Calibri" w:cs="Times New Roman"/>
                <w:b/>
                <w:bCs/>
                <w:color w:val="000000"/>
                <w:lang w:eastAsia="en-GB"/>
              </w:rPr>
              <w:t>in 2017/18</w:t>
            </w:r>
          </w:p>
        </w:tc>
      </w:tr>
      <w:tr w:rsidR="00C245C6" w:rsidRPr="00C245C6" w:rsidTr="0028396B">
        <w:trPr>
          <w:trHeight w:val="315"/>
        </w:trPr>
        <w:tc>
          <w:tcPr>
            <w:tcW w:w="1366"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14" w:type="dxa"/>
            <w:tcBorders>
              <w:top w:val="nil"/>
              <w:left w:val="nil"/>
              <w:bottom w:val="nil"/>
              <w:right w:val="nil"/>
            </w:tcBorders>
            <w:shd w:val="clear" w:color="auto" w:fill="auto"/>
            <w:noWrap/>
            <w:vAlign w:val="bottom"/>
            <w:hideMark/>
          </w:tcPr>
          <w:p w:rsidR="00C245C6" w:rsidRPr="00C245C6" w:rsidRDefault="00C245C6" w:rsidP="00C245C6">
            <w:pPr>
              <w:jc w:val="cente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C245C6" w:rsidRPr="00C245C6" w:rsidRDefault="00C245C6" w:rsidP="00C245C6">
            <w:pPr>
              <w:jc w:val="center"/>
              <w:rPr>
                <w:rFonts w:ascii="Calibri" w:eastAsia="Times New Roman" w:hAnsi="Calibri" w:cs="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66"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14" w:type="dxa"/>
            <w:tcBorders>
              <w:top w:val="nil"/>
              <w:left w:val="nil"/>
              <w:bottom w:val="nil"/>
              <w:right w:val="nil"/>
            </w:tcBorders>
            <w:shd w:val="clear" w:color="auto" w:fill="auto"/>
            <w:noWrap/>
            <w:vAlign w:val="bottom"/>
            <w:hideMark/>
          </w:tcPr>
          <w:p w:rsidR="00C245C6" w:rsidRPr="00C245C6" w:rsidRDefault="00C245C6" w:rsidP="00C245C6">
            <w:pPr>
              <w:jc w:val="cente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C245C6" w:rsidRPr="00C245C6" w:rsidRDefault="00C245C6" w:rsidP="00C245C6">
            <w:pPr>
              <w:jc w:val="center"/>
              <w:rPr>
                <w:rFonts w:ascii="Calibri" w:eastAsia="Times New Roman" w:hAnsi="Calibri" w:cs="Times New Roman"/>
                <w:color w:val="000000"/>
                <w:sz w:val="22"/>
                <w:szCs w:val="22"/>
                <w:lang w:eastAsia="en-GB"/>
              </w:rPr>
            </w:pP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66"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14" w:type="dxa"/>
            <w:tcBorders>
              <w:top w:val="nil"/>
              <w:left w:val="nil"/>
              <w:bottom w:val="nil"/>
              <w:right w:val="nil"/>
            </w:tcBorders>
            <w:shd w:val="clear" w:color="auto" w:fill="auto"/>
            <w:noWrap/>
            <w:vAlign w:val="bottom"/>
            <w:hideMark/>
          </w:tcPr>
          <w:p w:rsidR="00C245C6" w:rsidRPr="00C245C6" w:rsidRDefault="00C245C6" w:rsidP="00C245C6">
            <w:pPr>
              <w:jc w:val="center"/>
              <w:rPr>
                <w:rFonts w:ascii="Calibri" w:eastAsia="Times New Roman" w:hAnsi="Calibri" w:cs="Times New Roman"/>
                <w:color w:val="000000"/>
                <w:sz w:val="22"/>
                <w:szCs w:val="22"/>
                <w:lang w:eastAsia="en-GB"/>
              </w:rPr>
            </w:pPr>
          </w:p>
        </w:tc>
        <w:tc>
          <w:tcPr>
            <w:tcW w:w="972" w:type="dxa"/>
            <w:tcBorders>
              <w:top w:val="nil"/>
              <w:left w:val="nil"/>
              <w:bottom w:val="nil"/>
              <w:right w:val="nil"/>
            </w:tcBorders>
            <w:shd w:val="clear" w:color="auto" w:fill="auto"/>
            <w:noWrap/>
            <w:vAlign w:val="bottom"/>
            <w:hideMark/>
          </w:tcPr>
          <w:p w:rsidR="00C245C6" w:rsidRPr="00C245C6" w:rsidRDefault="00C245C6" w:rsidP="00C245C6">
            <w:pPr>
              <w:jc w:val="center"/>
              <w:rPr>
                <w:rFonts w:ascii="Calibri" w:eastAsia="Times New Roman" w:hAnsi="Calibri" w:cs="Times New Roman"/>
                <w:color w:val="000000"/>
                <w:sz w:val="22"/>
                <w:szCs w:val="22"/>
                <w:lang w:eastAsia="en-GB"/>
              </w:rPr>
            </w:pPr>
          </w:p>
        </w:tc>
      </w:tr>
      <w:tr w:rsidR="00C245C6" w:rsidRPr="00C245C6" w:rsidTr="0028396B">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C245C6" w:rsidRPr="00C245C6" w:rsidRDefault="000036A1" w:rsidP="00C245C6">
            <w:pPr>
              <w:rPr>
                <w:rFonts w:eastAsia="Times New Roman"/>
                <w:b/>
                <w:bCs/>
                <w:color w:val="000000"/>
                <w:sz w:val="20"/>
                <w:szCs w:val="20"/>
                <w:lang w:eastAsia="en-GB"/>
              </w:rPr>
            </w:pPr>
            <w:r>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C245C6" w:rsidRDefault="00C245C6" w:rsidP="00C245C6">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C245C6" w:rsidRDefault="007230F0" w:rsidP="00C245C6">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C245C6" w:rsidRPr="00C245C6" w:rsidRDefault="000036A1" w:rsidP="00C245C6">
            <w:pPr>
              <w:rPr>
                <w:rFonts w:eastAsia="Times New Roman"/>
                <w:b/>
                <w:bCs/>
                <w:color w:val="000000"/>
                <w:sz w:val="20"/>
                <w:szCs w:val="20"/>
                <w:lang w:eastAsia="en-GB"/>
              </w:rPr>
            </w:pPr>
            <w:r>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C245C6" w:rsidRDefault="00C245C6" w:rsidP="00C245C6">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C245C6" w:rsidRDefault="007230F0" w:rsidP="00C245C6">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C245C6" w:rsidRPr="00C245C6" w:rsidRDefault="000036A1" w:rsidP="00C245C6">
            <w:pPr>
              <w:rPr>
                <w:rFonts w:eastAsia="Times New Roman"/>
                <w:b/>
                <w:bCs/>
                <w:color w:val="000000"/>
                <w:sz w:val="20"/>
                <w:szCs w:val="20"/>
                <w:lang w:eastAsia="en-GB"/>
              </w:rPr>
            </w:pPr>
            <w:r>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C245C6" w:rsidRDefault="00C245C6" w:rsidP="00C245C6">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C245C6" w:rsidRPr="00C245C6" w:rsidRDefault="007230F0" w:rsidP="00C245C6">
            <w:pPr>
              <w:jc w:val="center"/>
              <w:rPr>
                <w:rFonts w:eastAsia="Times New Roman"/>
                <w:b/>
                <w:bCs/>
                <w:color w:val="000000"/>
                <w:sz w:val="20"/>
                <w:szCs w:val="20"/>
                <w:lang w:eastAsia="en-GB"/>
              </w:rPr>
            </w:pPr>
            <w:r>
              <w:rPr>
                <w:rFonts w:eastAsia="Times New Roman"/>
                <w:b/>
                <w:bCs/>
                <w:color w:val="000000"/>
                <w:sz w:val="20"/>
                <w:szCs w:val="20"/>
                <w:lang w:eastAsia="en-GB"/>
              </w:rPr>
              <w:t>Number</w:t>
            </w:r>
          </w:p>
        </w:tc>
      </w:tr>
      <w:tr w:rsidR="00C245C6" w:rsidRPr="00C245C6" w:rsidTr="002839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C245C6" w:rsidRPr="00C245C6" w:rsidRDefault="00C245C6" w:rsidP="00C245C6">
            <w:pPr>
              <w:rPr>
                <w:rFonts w:eastAsia="Times New Roman"/>
                <w:color w:val="000000"/>
                <w:sz w:val="20"/>
                <w:szCs w:val="20"/>
                <w:lang w:eastAsia="en-GB"/>
              </w:rPr>
            </w:pPr>
            <w:r w:rsidRPr="00C245C6">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46.51</w:t>
            </w:r>
          </w:p>
        </w:tc>
        <w:tc>
          <w:tcPr>
            <w:tcW w:w="972"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5138</w:t>
            </w: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C245C6" w:rsidRPr="00C245C6" w:rsidRDefault="00C245C6" w:rsidP="00C245C6">
            <w:pPr>
              <w:rPr>
                <w:rFonts w:eastAsia="Times New Roman"/>
                <w:color w:val="000000"/>
                <w:sz w:val="20"/>
                <w:szCs w:val="20"/>
                <w:lang w:eastAsia="en-GB"/>
              </w:rPr>
            </w:pPr>
            <w:r w:rsidRPr="00C245C6">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41.25</w:t>
            </w:r>
          </w:p>
        </w:tc>
        <w:tc>
          <w:tcPr>
            <w:tcW w:w="972"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3850</w:t>
            </w: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C245C6" w:rsidRPr="00C245C6" w:rsidRDefault="00C245C6" w:rsidP="00C245C6">
            <w:pPr>
              <w:rPr>
                <w:rFonts w:eastAsia="Times New Roman"/>
                <w:color w:val="000000"/>
                <w:sz w:val="20"/>
                <w:szCs w:val="20"/>
                <w:lang w:eastAsia="en-GB"/>
              </w:rPr>
            </w:pPr>
            <w:r w:rsidRPr="00C245C6">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45.60</w:t>
            </w:r>
          </w:p>
        </w:tc>
        <w:tc>
          <w:tcPr>
            <w:tcW w:w="972"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3812</w:t>
            </w:r>
          </w:p>
        </w:tc>
      </w:tr>
      <w:tr w:rsidR="00C245C6" w:rsidRPr="00C245C6" w:rsidTr="002839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C245C6" w:rsidRPr="00C245C6" w:rsidRDefault="00C245C6" w:rsidP="00C245C6">
            <w:pPr>
              <w:rPr>
                <w:rFonts w:eastAsia="Times New Roman"/>
                <w:color w:val="000000"/>
                <w:sz w:val="20"/>
                <w:szCs w:val="20"/>
                <w:lang w:eastAsia="en-GB"/>
              </w:rPr>
            </w:pPr>
            <w:r w:rsidRPr="00C245C6">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51.00</w:t>
            </w:r>
          </w:p>
        </w:tc>
        <w:tc>
          <w:tcPr>
            <w:tcW w:w="972"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5634</w:t>
            </w: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C245C6" w:rsidRPr="00C245C6" w:rsidRDefault="00C245C6" w:rsidP="00C245C6">
            <w:pPr>
              <w:rPr>
                <w:rFonts w:eastAsia="Times New Roman"/>
                <w:color w:val="000000"/>
                <w:sz w:val="20"/>
                <w:szCs w:val="20"/>
                <w:lang w:eastAsia="en-GB"/>
              </w:rPr>
            </w:pPr>
            <w:r w:rsidRPr="00C245C6">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55.66</w:t>
            </w:r>
          </w:p>
        </w:tc>
        <w:tc>
          <w:tcPr>
            <w:tcW w:w="972"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5195</w:t>
            </w: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C245C6" w:rsidRPr="00C245C6" w:rsidRDefault="00C245C6" w:rsidP="00C245C6">
            <w:pPr>
              <w:rPr>
                <w:rFonts w:eastAsia="Times New Roman"/>
                <w:color w:val="000000"/>
                <w:sz w:val="20"/>
                <w:szCs w:val="20"/>
                <w:lang w:eastAsia="en-GB"/>
              </w:rPr>
            </w:pPr>
            <w:r w:rsidRPr="00C245C6">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50.40</w:t>
            </w:r>
          </w:p>
        </w:tc>
        <w:tc>
          <w:tcPr>
            <w:tcW w:w="972"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4213</w:t>
            </w:r>
          </w:p>
        </w:tc>
      </w:tr>
      <w:tr w:rsidR="00C245C6" w:rsidRPr="00C245C6" w:rsidTr="002839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C245C6" w:rsidRPr="00C245C6" w:rsidRDefault="00C245C6" w:rsidP="00C245C6">
            <w:pPr>
              <w:rPr>
                <w:rFonts w:eastAsia="Times New Roman"/>
                <w:color w:val="000000"/>
                <w:sz w:val="20"/>
                <w:szCs w:val="20"/>
                <w:lang w:eastAsia="en-GB"/>
              </w:rPr>
            </w:pPr>
            <w:r w:rsidRPr="00C245C6">
              <w:rPr>
                <w:rFonts w:eastAsia="Times New Roman"/>
                <w:color w:val="000000"/>
                <w:sz w:val="20"/>
                <w:szCs w:val="20"/>
                <w:lang w:eastAsia="en-GB"/>
              </w:rPr>
              <w:t>Unspecified</w:t>
            </w:r>
          </w:p>
        </w:tc>
        <w:tc>
          <w:tcPr>
            <w:tcW w:w="1314"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2.49</w:t>
            </w:r>
          </w:p>
        </w:tc>
        <w:tc>
          <w:tcPr>
            <w:tcW w:w="972"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275</w:t>
            </w: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C245C6" w:rsidRPr="00C245C6" w:rsidRDefault="00C245C6" w:rsidP="00C245C6">
            <w:pPr>
              <w:rPr>
                <w:rFonts w:eastAsia="Times New Roman"/>
                <w:color w:val="000000"/>
                <w:sz w:val="20"/>
                <w:szCs w:val="20"/>
                <w:lang w:eastAsia="en-GB"/>
              </w:rPr>
            </w:pPr>
            <w:r w:rsidRPr="00C245C6">
              <w:rPr>
                <w:rFonts w:eastAsia="Times New Roman"/>
                <w:color w:val="000000"/>
                <w:sz w:val="20"/>
                <w:szCs w:val="20"/>
                <w:lang w:eastAsia="en-GB"/>
              </w:rPr>
              <w:t>Unspecified</w:t>
            </w:r>
          </w:p>
        </w:tc>
        <w:tc>
          <w:tcPr>
            <w:tcW w:w="1314"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3.09</w:t>
            </w:r>
          </w:p>
        </w:tc>
        <w:tc>
          <w:tcPr>
            <w:tcW w:w="972"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289</w:t>
            </w:r>
          </w:p>
        </w:tc>
        <w:tc>
          <w:tcPr>
            <w:tcW w:w="400" w:type="dxa"/>
            <w:tcBorders>
              <w:top w:val="nil"/>
              <w:left w:val="nil"/>
              <w:bottom w:val="nil"/>
              <w:right w:val="nil"/>
            </w:tcBorders>
            <w:shd w:val="clear" w:color="auto" w:fill="auto"/>
            <w:noWrap/>
            <w:vAlign w:val="bottom"/>
            <w:hideMark/>
          </w:tcPr>
          <w:p w:rsidR="00C245C6" w:rsidRPr="00C245C6" w:rsidRDefault="00C245C6"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C245C6" w:rsidRPr="00C245C6" w:rsidRDefault="00C245C6" w:rsidP="00C245C6">
            <w:pPr>
              <w:rPr>
                <w:rFonts w:eastAsia="Times New Roman"/>
                <w:color w:val="000000"/>
                <w:sz w:val="20"/>
                <w:szCs w:val="20"/>
                <w:lang w:eastAsia="en-GB"/>
              </w:rPr>
            </w:pPr>
            <w:r w:rsidRPr="00C245C6">
              <w:rPr>
                <w:rFonts w:eastAsia="Times New Roman"/>
                <w:color w:val="000000"/>
                <w:sz w:val="20"/>
                <w:szCs w:val="20"/>
                <w:lang w:eastAsia="en-GB"/>
              </w:rPr>
              <w:t>Unspecified</w:t>
            </w:r>
          </w:p>
        </w:tc>
        <w:tc>
          <w:tcPr>
            <w:tcW w:w="1314"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4.00</w:t>
            </w:r>
          </w:p>
        </w:tc>
        <w:tc>
          <w:tcPr>
            <w:tcW w:w="972" w:type="dxa"/>
            <w:tcBorders>
              <w:top w:val="nil"/>
              <w:left w:val="nil"/>
              <w:bottom w:val="single" w:sz="8" w:space="0" w:color="auto"/>
              <w:right w:val="single" w:sz="8" w:space="0" w:color="auto"/>
            </w:tcBorders>
            <w:shd w:val="clear" w:color="auto" w:fill="auto"/>
            <w:noWrap/>
            <w:vAlign w:val="center"/>
            <w:hideMark/>
          </w:tcPr>
          <w:p w:rsidR="00C245C6" w:rsidRPr="00C245C6" w:rsidRDefault="00C245C6" w:rsidP="00C245C6">
            <w:pPr>
              <w:jc w:val="center"/>
              <w:rPr>
                <w:rFonts w:eastAsia="Times New Roman"/>
                <w:color w:val="000000"/>
                <w:sz w:val="20"/>
                <w:szCs w:val="20"/>
                <w:lang w:eastAsia="en-GB"/>
              </w:rPr>
            </w:pPr>
            <w:r w:rsidRPr="00C245C6">
              <w:rPr>
                <w:rFonts w:eastAsia="Times New Roman"/>
                <w:color w:val="000000"/>
                <w:sz w:val="20"/>
                <w:szCs w:val="20"/>
                <w:lang w:eastAsia="en-GB"/>
              </w:rPr>
              <w:t>334</w:t>
            </w:r>
          </w:p>
        </w:tc>
      </w:tr>
      <w:tr w:rsidR="0028396B" w:rsidRPr="00C245C6" w:rsidTr="002839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C245C6">
            <w:pPr>
              <w:jc w:val="center"/>
              <w:rPr>
                <w:rFonts w:eastAsia="Times New Roman"/>
                <w:b/>
                <w:bCs/>
                <w:color w:val="000000"/>
                <w:sz w:val="20"/>
                <w:szCs w:val="20"/>
                <w:lang w:eastAsia="en-GB"/>
              </w:rPr>
            </w:pPr>
            <w:r w:rsidRPr="00C245C6">
              <w:rPr>
                <w:rFonts w:eastAsia="Times New Roman"/>
                <w:b/>
                <w:bCs/>
                <w:color w:val="000000"/>
                <w:sz w:val="20"/>
                <w:szCs w:val="20"/>
                <w:lang w:eastAsia="en-GB"/>
              </w:rPr>
              <w:t>11047</w:t>
            </w:r>
          </w:p>
        </w:tc>
        <w:tc>
          <w:tcPr>
            <w:tcW w:w="400" w:type="dxa"/>
            <w:tcBorders>
              <w:top w:val="nil"/>
              <w:left w:val="nil"/>
              <w:bottom w:val="nil"/>
              <w:right w:val="nil"/>
            </w:tcBorders>
            <w:shd w:val="clear" w:color="auto" w:fill="auto"/>
            <w:noWrap/>
            <w:vAlign w:val="bottom"/>
            <w:hideMark/>
          </w:tcPr>
          <w:p w:rsidR="0028396B" w:rsidRPr="00C245C6" w:rsidRDefault="0028396B"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C245C6">
            <w:pPr>
              <w:jc w:val="center"/>
              <w:rPr>
                <w:rFonts w:eastAsia="Times New Roman"/>
                <w:b/>
                <w:bCs/>
                <w:color w:val="000000"/>
                <w:sz w:val="20"/>
                <w:szCs w:val="20"/>
                <w:lang w:eastAsia="en-GB"/>
              </w:rPr>
            </w:pPr>
            <w:r w:rsidRPr="00C245C6">
              <w:rPr>
                <w:rFonts w:eastAsia="Times New Roman"/>
                <w:b/>
                <w:bCs/>
                <w:color w:val="000000"/>
                <w:sz w:val="20"/>
                <w:szCs w:val="20"/>
                <w:lang w:eastAsia="en-GB"/>
              </w:rPr>
              <w:t>9334</w:t>
            </w:r>
          </w:p>
        </w:tc>
        <w:tc>
          <w:tcPr>
            <w:tcW w:w="400" w:type="dxa"/>
            <w:tcBorders>
              <w:top w:val="nil"/>
              <w:left w:val="nil"/>
              <w:bottom w:val="nil"/>
              <w:right w:val="nil"/>
            </w:tcBorders>
            <w:shd w:val="clear" w:color="auto" w:fill="auto"/>
            <w:noWrap/>
            <w:vAlign w:val="bottom"/>
            <w:hideMark/>
          </w:tcPr>
          <w:p w:rsidR="0028396B" w:rsidRPr="00C245C6" w:rsidRDefault="0028396B" w:rsidP="00C245C6">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C245C6">
            <w:pPr>
              <w:jc w:val="center"/>
              <w:rPr>
                <w:rFonts w:eastAsia="Times New Roman"/>
                <w:b/>
                <w:bCs/>
                <w:color w:val="000000"/>
                <w:sz w:val="20"/>
                <w:szCs w:val="20"/>
                <w:lang w:eastAsia="en-GB"/>
              </w:rPr>
            </w:pPr>
            <w:r w:rsidRPr="00C245C6">
              <w:rPr>
                <w:rFonts w:eastAsia="Times New Roman"/>
                <w:b/>
                <w:bCs/>
                <w:color w:val="000000"/>
                <w:sz w:val="20"/>
                <w:szCs w:val="20"/>
                <w:lang w:eastAsia="en-GB"/>
              </w:rPr>
              <w:t>8359</w:t>
            </w:r>
          </w:p>
        </w:tc>
      </w:tr>
    </w:tbl>
    <w:p w:rsidR="007230F0" w:rsidRDefault="007230F0" w:rsidP="008A22C6">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7230F0" w:rsidRPr="00C245C6" w:rsidTr="007230F0">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Pr="00C245C6" w:rsidRDefault="007230F0" w:rsidP="00FF726B">
            <w:pPr>
              <w:rPr>
                <w:rFonts w:eastAsia="Times New Roman"/>
                <w:b/>
                <w:bCs/>
                <w:color w:val="000000"/>
                <w:sz w:val="20"/>
                <w:szCs w:val="20"/>
                <w:lang w:eastAsia="en-GB"/>
              </w:rPr>
            </w:pPr>
            <w:r>
              <w:rPr>
                <w:rFonts w:eastAsia="Times New Roman"/>
                <w:b/>
                <w:bCs/>
                <w:color w:val="000000"/>
                <w:sz w:val="20"/>
                <w:szCs w:val="20"/>
                <w:lang w:eastAsia="en-GB"/>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tcPr>
          <w:p w:rsidR="007230F0" w:rsidRPr="00C245C6" w:rsidRDefault="007230F0" w:rsidP="00FF726B">
            <w:pPr>
              <w:jc w:val="center"/>
              <w:rPr>
                <w:rFonts w:eastAsia="Times New Roman"/>
                <w:b/>
                <w:bCs/>
                <w:color w:val="000000"/>
                <w:sz w:val="20"/>
                <w:szCs w:val="20"/>
                <w:lang w:eastAsia="en-GB"/>
              </w:rPr>
            </w:pPr>
            <w:r>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tcPr>
          <w:p w:rsidR="007230F0" w:rsidRPr="00C245C6" w:rsidRDefault="007230F0"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7230F0" w:rsidRPr="00C245C6" w:rsidRDefault="007230F0"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Pr="00C245C6" w:rsidRDefault="007230F0" w:rsidP="00FF726B">
            <w:pPr>
              <w:rPr>
                <w:rFonts w:eastAsia="Times New Roman"/>
                <w:b/>
                <w:bCs/>
                <w:color w:val="000000"/>
                <w:sz w:val="20"/>
                <w:szCs w:val="20"/>
                <w:lang w:eastAsia="en-GB"/>
              </w:rPr>
            </w:pPr>
            <w:r>
              <w:rPr>
                <w:rFonts w:eastAsia="Times New Roman"/>
                <w:b/>
                <w:bCs/>
                <w:color w:val="000000"/>
                <w:sz w:val="20"/>
                <w:szCs w:val="20"/>
                <w:lang w:eastAsia="en-GB"/>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tcPr>
          <w:p w:rsidR="007230F0" w:rsidRPr="00C245C6" w:rsidRDefault="007230F0" w:rsidP="00FF726B">
            <w:pPr>
              <w:jc w:val="center"/>
              <w:rPr>
                <w:rFonts w:eastAsia="Times New Roman"/>
                <w:b/>
                <w:bCs/>
                <w:color w:val="000000"/>
                <w:sz w:val="20"/>
                <w:szCs w:val="20"/>
                <w:lang w:eastAsia="en-GB"/>
              </w:rPr>
            </w:pPr>
            <w:r>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C245C6" w:rsidRDefault="007230F0"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7230F0" w:rsidRPr="00C245C6" w:rsidRDefault="007230F0"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Pr="00C245C6" w:rsidRDefault="007230F0" w:rsidP="00FF726B">
            <w:pPr>
              <w:rPr>
                <w:rFonts w:eastAsia="Times New Roman"/>
                <w:b/>
                <w:bCs/>
                <w:color w:val="000000"/>
                <w:sz w:val="20"/>
                <w:szCs w:val="20"/>
                <w:lang w:eastAsia="en-GB"/>
              </w:rPr>
            </w:pPr>
            <w:r>
              <w:rPr>
                <w:rFonts w:eastAsia="Times New Roman"/>
                <w:b/>
                <w:bCs/>
                <w:color w:val="000000"/>
                <w:sz w:val="20"/>
                <w:szCs w:val="20"/>
                <w:lang w:eastAsia="en-GB"/>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tcPr>
          <w:p w:rsidR="007230F0" w:rsidRPr="00C245C6" w:rsidRDefault="007230F0" w:rsidP="00FF726B">
            <w:pPr>
              <w:jc w:val="center"/>
              <w:rPr>
                <w:rFonts w:eastAsia="Times New Roman"/>
                <w:b/>
                <w:bCs/>
                <w:color w:val="000000"/>
                <w:sz w:val="20"/>
                <w:szCs w:val="20"/>
                <w:lang w:eastAsia="en-GB"/>
              </w:rPr>
            </w:pPr>
            <w:r>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C245C6" w:rsidRDefault="007230F0"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r>
      <w:tr w:rsidR="007230F0" w:rsidRPr="00C245C6" w:rsidTr="007230F0">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B</w:t>
            </w:r>
            <w:r w:rsidR="00EF6EBB">
              <w:rPr>
                <w:color w:val="000000"/>
                <w:sz w:val="20"/>
                <w:szCs w:val="20"/>
              </w:rPr>
              <w:t>A</w:t>
            </w:r>
            <w:r>
              <w:rPr>
                <w:color w:val="000000"/>
                <w:sz w:val="20"/>
                <w:szCs w:val="20"/>
              </w:rPr>
              <w:t>ME</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24.30</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2684</w:t>
            </w:r>
          </w:p>
        </w:tc>
        <w:tc>
          <w:tcPr>
            <w:tcW w:w="400" w:type="dxa"/>
            <w:tcBorders>
              <w:top w:val="nil"/>
              <w:left w:val="nil"/>
              <w:bottom w:val="nil"/>
              <w:right w:val="nil"/>
            </w:tcBorders>
            <w:shd w:val="clear" w:color="auto" w:fill="auto"/>
            <w:noWrap/>
            <w:vAlign w:val="bottom"/>
            <w:hideMark/>
          </w:tcPr>
          <w:p w:rsidR="007230F0" w:rsidRDefault="007230F0">
            <w:pPr>
              <w:rPr>
                <w:rFonts w:ascii="Calibri" w:hAnsi="Calibri"/>
                <w:color w:val="000000"/>
                <w:sz w:val="22"/>
                <w:szCs w:val="22"/>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B</w:t>
            </w:r>
            <w:r w:rsidR="00EF6EBB">
              <w:rPr>
                <w:color w:val="000000"/>
                <w:sz w:val="20"/>
                <w:szCs w:val="20"/>
              </w:rPr>
              <w:t>A</w:t>
            </w:r>
            <w:r>
              <w:rPr>
                <w:color w:val="000000"/>
                <w:sz w:val="20"/>
                <w:szCs w:val="20"/>
              </w:rPr>
              <w:t>ME</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21.20</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1979</w:t>
            </w:r>
          </w:p>
        </w:tc>
        <w:tc>
          <w:tcPr>
            <w:tcW w:w="400" w:type="dxa"/>
            <w:tcBorders>
              <w:top w:val="nil"/>
              <w:left w:val="nil"/>
              <w:bottom w:val="nil"/>
              <w:right w:val="nil"/>
            </w:tcBorders>
            <w:shd w:val="clear" w:color="auto" w:fill="auto"/>
            <w:noWrap/>
            <w:vAlign w:val="bottom"/>
            <w:hideMark/>
          </w:tcPr>
          <w:p w:rsidR="007230F0" w:rsidRDefault="007230F0">
            <w:pPr>
              <w:rPr>
                <w:rFonts w:ascii="Calibri" w:hAnsi="Calibri"/>
                <w:color w:val="000000"/>
                <w:sz w:val="22"/>
                <w:szCs w:val="22"/>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B</w:t>
            </w:r>
            <w:r w:rsidR="00EF6EBB">
              <w:rPr>
                <w:color w:val="000000"/>
                <w:sz w:val="20"/>
                <w:szCs w:val="20"/>
              </w:rPr>
              <w:t>A</w:t>
            </w:r>
            <w:r>
              <w:rPr>
                <w:color w:val="000000"/>
                <w:sz w:val="20"/>
                <w:szCs w:val="20"/>
              </w:rPr>
              <w:t>ME</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20.07</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1678</w:t>
            </w:r>
          </w:p>
        </w:tc>
      </w:tr>
      <w:tr w:rsidR="007230F0" w:rsidRPr="00C245C6" w:rsidTr="007230F0">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75.70</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8363</w:t>
            </w:r>
          </w:p>
        </w:tc>
        <w:tc>
          <w:tcPr>
            <w:tcW w:w="400" w:type="dxa"/>
            <w:tcBorders>
              <w:top w:val="nil"/>
              <w:left w:val="nil"/>
              <w:bottom w:val="nil"/>
              <w:right w:val="nil"/>
            </w:tcBorders>
            <w:shd w:val="clear" w:color="auto" w:fill="auto"/>
            <w:noWrap/>
            <w:vAlign w:val="bottom"/>
            <w:hideMark/>
          </w:tcPr>
          <w:p w:rsidR="007230F0" w:rsidRDefault="007230F0">
            <w:pPr>
              <w:rPr>
                <w:rFonts w:ascii="Calibri" w:hAnsi="Calibri"/>
                <w:color w:val="000000"/>
                <w:sz w:val="22"/>
                <w:szCs w:val="22"/>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78.80</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7355</w:t>
            </w:r>
          </w:p>
        </w:tc>
        <w:tc>
          <w:tcPr>
            <w:tcW w:w="400" w:type="dxa"/>
            <w:tcBorders>
              <w:top w:val="nil"/>
              <w:left w:val="nil"/>
              <w:bottom w:val="nil"/>
              <w:right w:val="nil"/>
            </w:tcBorders>
            <w:shd w:val="clear" w:color="auto" w:fill="auto"/>
            <w:noWrap/>
            <w:vAlign w:val="bottom"/>
            <w:hideMark/>
          </w:tcPr>
          <w:p w:rsidR="007230F0" w:rsidRDefault="007230F0">
            <w:pPr>
              <w:rPr>
                <w:rFonts w:ascii="Calibri" w:hAnsi="Calibri"/>
                <w:color w:val="000000"/>
                <w:sz w:val="22"/>
                <w:szCs w:val="22"/>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79.93</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6681</w:t>
            </w:r>
          </w:p>
        </w:tc>
      </w:tr>
      <w:tr w:rsidR="0028396B" w:rsidRPr="00C245C6" w:rsidTr="007230F0">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11047</w:t>
            </w:r>
          </w:p>
        </w:tc>
        <w:tc>
          <w:tcPr>
            <w:tcW w:w="400" w:type="dxa"/>
            <w:tcBorders>
              <w:top w:val="nil"/>
              <w:left w:val="nil"/>
              <w:bottom w:val="nil"/>
              <w:right w:val="nil"/>
            </w:tcBorders>
            <w:shd w:val="clear" w:color="auto" w:fill="auto"/>
            <w:noWrap/>
            <w:vAlign w:val="bottom"/>
            <w:hideMark/>
          </w:tcPr>
          <w:p w:rsidR="0028396B" w:rsidRPr="00C245C6" w:rsidRDefault="0028396B"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9334</w:t>
            </w:r>
          </w:p>
        </w:tc>
        <w:tc>
          <w:tcPr>
            <w:tcW w:w="400" w:type="dxa"/>
            <w:tcBorders>
              <w:top w:val="nil"/>
              <w:left w:val="nil"/>
              <w:bottom w:val="nil"/>
              <w:right w:val="nil"/>
            </w:tcBorders>
            <w:shd w:val="clear" w:color="auto" w:fill="auto"/>
            <w:noWrap/>
            <w:vAlign w:val="bottom"/>
            <w:hideMark/>
          </w:tcPr>
          <w:p w:rsidR="0028396B" w:rsidRPr="00C245C6" w:rsidRDefault="0028396B"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8359</w:t>
            </w:r>
          </w:p>
        </w:tc>
      </w:tr>
    </w:tbl>
    <w:p w:rsidR="007230F0" w:rsidRDefault="007230F0" w:rsidP="008A22C6">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7230F0" w:rsidRPr="00C245C6" w:rsidTr="007230F0">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Default="007230F0">
            <w:pPr>
              <w:rPr>
                <w:b/>
                <w:bCs/>
                <w:color w:val="000000"/>
                <w:sz w:val="20"/>
                <w:szCs w:val="20"/>
              </w:rPr>
            </w:pPr>
            <w:r>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C245C6" w:rsidRDefault="007230F0"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C245C6" w:rsidRDefault="007230F0"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7230F0" w:rsidRPr="00C245C6" w:rsidRDefault="007230F0"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Default="007230F0">
            <w:pPr>
              <w:rPr>
                <w:b/>
                <w:bCs/>
                <w:color w:val="000000"/>
                <w:sz w:val="20"/>
                <w:szCs w:val="20"/>
              </w:rPr>
            </w:pPr>
            <w:r>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C245C6" w:rsidRDefault="007230F0"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C245C6" w:rsidRDefault="007230F0"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7230F0" w:rsidRPr="00C245C6" w:rsidRDefault="007230F0"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7230F0" w:rsidRDefault="007230F0">
            <w:pPr>
              <w:rPr>
                <w:b/>
                <w:bCs/>
                <w:color w:val="000000"/>
                <w:sz w:val="20"/>
                <w:szCs w:val="20"/>
              </w:rPr>
            </w:pPr>
            <w:r>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C245C6" w:rsidRDefault="007230F0"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7230F0" w:rsidRPr="00C245C6" w:rsidRDefault="007230F0"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r>
      <w:tr w:rsidR="007230F0" w:rsidRPr="00C245C6" w:rsidTr="007230F0">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87.06</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9618</w:t>
            </w:r>
          </w:p>
        </w:tc>
        <w:tc>
          <w:tcPr>
            <w:tcW w:w="400" w:type="dxa"/>
            <w:tcBorders>
              <w:top w:val="nil"/>
              <w:left w:val="nil"/>
              <w:bottom w:val="nil"/>
              <w:right w:val="nil"/>
            </w:tcBorders>
            <w:shd w:val="clear" w:color="auto" w:fill="auto"/>
            <w:noWrap/>
            <w:vAlign w:val="bottom"/>
            <w:hideMark/>
          </w:tcPr>
          <w:p w:rsidR="007230F0" w:rsidRPr="00C245C6" w:rsidRDefault="007230F0"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86.49</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8073</w:t>
            </w:r>
          </w:p>
        </w:tc>
        <w:tc>
          <w:tcPr>
            <w:tcW w:w="400" w:type="dxa"/>
            <w:tcBorders>
              <w:top w:val="nil"/>
              <w:left w:val="nil"/>
              <w:bottom w:val="nil"/>
              <w:right w:val="nil"/>
            </w:tcBorders>
            <w:shd w:val="clear" w:color="auto" w:fill="auto"/>
            <w:noWrap/>
            <w:vAlign w:val="bottom"/>
          </w:tcPr>
          <w:p w:rsidR="007230F0" w:rsidRPr="00C245C6" w:rsidRDefault="007230F0"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84.69</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7079</w:t>
            </w:r>
          </w:p>
        </w:tc>
      </w:tr>
      <w:tr w:rsidR="007230F0" w:rsidRPr="00C245C6" w:rsidTr="007230F0">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4.77</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527</w:t>
            </w:r>
          </w:p>
        </w:tc>
        <w:tc>
          <w:tcPr>
            <w:tcW w:w="400" w:type="dxa"/>
            <w:tcBorders>
              <w:top w:val="nil"/>
              <w:left w:val="nil"/>
              <w:bottom w:val="nil"/>
              <w:right w:val="nil"/>
            </w:tcBorders>
            <w:shd w:val="clear" w:color="auto" w:fill="auto"/>
            <w:noWrap/>
            <w:vAlign w:val="bottom"/>
            <w:hideMark/>
          </w:tcPr>
          <w:p w:rsidR="007230F0" w:rsidRPr="00C245C6" w:rsidRDefault="007230F0"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4.37</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408</w:t>
            </w:r>
          </w:p>
        </w:tc>
        <w:tc>
          <w:tcPr>
            <w:tcW w:w="400" w:type="dxa"/>
            <w:tcBorders>
              <w:top w:val="nil"/>
              <w:left w:val="nil"/>
              <w:bottom w:val="nil"/>
              <w:right w:val="nil"/>
            </w:tcBorders>
            <w:shd w:val="clear" w:color="auto" w:fill="auto"/>
            <w:noWrap/>
            <w:vAlign w:val="bottom"/>
          </w:tcPr>
          <w:p w:rsidR="007230F0" w:rsidRPr="00C245C6" w:rsidRDefault="007230F0"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5.13</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429</w:t>
            </w:r>
          </w:p>
        </w:tc>
      </w:tr>
      <w:tr w:rsidR="007230F0" w:rsidRPr="00C245C6" w:rsidTr="007230F0">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8.17</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902</w:t>
            </w:r>
          </w:p>
        </w:tc>
        <w:tc>
          <w:tcPr>
            <w:tcW w:w="400" w:type="dxa"/>
            <w:tcBorders>
              <w:top w:val="nil"/>
              <w:left w:val="nil"/>
              <w:bottom w:val="nil"/>
              <w:right w:val="nil"/>
            </w:tcBorders>
            <w:shd w:val="clear" w:color="auto" w:fill="auto"/>
            <w:noWrap/>
            <w:vAlign w:val="bottom"/>
            <w:hideMark/>
          </w:tcPr>
          <w:p w:rsidR="007230F0" w:rsidRPr="00C245C6" w:rsidRDefault="007230F0"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9.14</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853</w:t>
            </w:r>
          </w:p>
        </w:tc>
        <w:tc>
          <w:tcPr>
            <w:tcW w:w="400" w:type="dxa"/>
            <w:tcBorders>
              <w:top w:val="nil"/>
              <w:left w:val="nil"/>
              <w:bottom w:val="nil"/>
              <w:right w:val="nil"/>
            </w:tcBorders>
            <w:shd w:val="clear" w:color="auto" w:fill="auto"/>
            <w:noWrap/>
            <w:vAlign w:val="bottom"/>
          </w:tcPr>
          <w:p w:rsidR="007230F0" w:rsidRPr="00C245C6" w:rsidRDefault="007230F0"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7230F0" w:rsidRDefault="007230F0">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10.18</w:t>
            </w:r>
          </w:p>
        </w:tc>
        <w:tc>
          <w:tcPr>
            <w:tcW w:w="972" w:type="dxa"/>
            <w:tcBorders>
              <w:top w:val="nil"/>
              <w:left w:val="nil"/>
              <w:bottom w:val="single" w:sz="8" w:space="0" w:color="auto"/>
              <w:right w:val="single" w:sz="8" w:space="0" w:color="auto"/>
            </w:tcBorders>
            <w:shd w:val="clear" w:color="auto" w:fill="auto"/>
            <w:noWrap/>
            <w:vAlign w:val="center"/>
          </w:tcPr>
          <w:p w:rsidR="007230F0" w:rsidRDefault="007230F0">
            <w:pPr>
              <w:jc w:val="center"/>
              <w:rPr>
                <w:color w:val="000000"/>
                <w:sz w:val="20"/>
                <w:szCs w:val="20"/>
              </w:rPr>
            </w:pPr>
            <w:r>
              <w:rPr>
                <w:color w:val="000000"/>
                <w:sz w:val="20"/>
                <w:szCs w:val="20"/>
              </w:rPr>
              <w:t>851</w:t>
            </w:r>
          </w:p>
        </w:tc>
      </w:tr>
      <w:tr w:rsidR="0028396B" w:rsidRPr="00C245C6" w:rsidTr="007230F0">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11047</w:t>
            </w:r>
          </w:p>
        </w:tc>
        <w:tc>
          <w:tcPr>
            <w:tcW w:w="400" w:type="dxa"/>
            <w:tcBorders>
              <w:top w:val="nil"/>
              <w:left w:val="nil"/>
              <w:bottom w:val="nil"/>
              <w:right w:val="nil"/>
            </w:tcBorders>
            <w:shd w:val="clear" w:color="auto" w:fill="auto"/>
            <w:noWrap/>
            <w:vAlign w:val="bottom"/>
            <w:hideMark/>
          </w:tcPr>
          <w:p w:rsidR="0028396B" w:rsidRPr="00C245C6" w:rsidRDefault="0028396B"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9334</w:t>
            </w:r>
          </w:p>
        </w:tc>
        <w:tc>
          <w:tcPr>
            <w:tcW w:w="400" w:type="dxa"/>
            <w:tcBorders>
              <w:top w:val="nil"/>
              <w:left w:val="nil"/>
              <w:bottom w:val="nil"/>
              <w:right w:val="nil"/>
            </w:tcBorders>
            <w:shd w:val="clear" w:color="auto" w:fill="auto"/>
            <w:noWrap/>
            <w:vAlign w:val="bottom"/>
            <w:hideMark/>
          </w:tcPr>
          <w:p w:rsidR="0028396B" w:rsidRPr="00C245C6" w:rsidRDefault="0028396B"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8359</w:t>
            </w:r>
          </w:p>
        </w:tc>
      </w:tr>
    </w:tbl>
    <w:p w:rsidR="007230F0" w:rsidRPr="000540D8" w:rsidRDefault="00DA02BE" w:rsidP="008A22C6">
      <w:pPr>
        <w:rPr>
          <w:szCs w:val="22"/>
        </w:rPr>
      </w:pPr>
      <w:r w:rsidRPr="000540D8">
        <w:rPr>
          <w:b/>
          <w:szCs w:val="22"/>
        </w:rPr>
        <w:lastRenderedPageBreak/>
        <w:t xml:space="preserve">Commentary: </w:t>
      </w:r>
      <w:r w:rsidRPr="000540D8">
        <w:rPr>
          <w:szCs w:val="22"/>
        </w:rPr>
        <w:t>The number of female to male applicants reduced in 2016/17 but is now at a similar level to 2015/16. Applicants from BAME groups reduced noticeably in 2016/17 but has now stabilised around 20% of applicants.</w:t>
      </w:r>
      <w:r w:rsidR="007230F0" w:rsidRPr="000540D8">
        <w:rPr>
          <w:b/>
          <w:szCs w:val="22"/>
        </w:rPr>
        <w:t xml:space="preserve"> </w:t>
      </w:r>
      <w:r w:rsidR="007230F0" w:rsidRPr="000540D8">
        <w:rPr>
          <w:szCs w:val="22"/>
        </w:rPr>
        <w:t>The proportion of applicants who declare themselves as having a disability has steadily increased since 2015/16.</w:t>
      </w:r>
      <w:r w:rsidR="00470FCE">
        <w:rPr>
          <w:szCs w:val="22"/>
        </w:rPr>
        <w:t xml:space="preserve"> </w:t>
      </w:r>
      <w:r w:rsidR="00470FCE" w:rsidRPr="000540D8">
        <w:rPr>
          <w:szCs w:val="22"/>
        </w:rPr>
        <w:t xml:space="preserve">The Council is reviewing </w:t>
      </w:r>
      <w:r w:rsidR="00470FCE">
        <w:rPr>
          <w:szCs w:val="22"/>
        </w:rPr>
        <w:t xml:space="preserve">where and how it advertises job opportunities (including greater use of social media to encourage applications from a younger age demographic), </w:t>
      </w:r>
      <w:r w:rsidR="00470FCE" w:rsidRPr="000540D8">
        <w:rPr>
          <w:szCs w:val="22"/>
        </w:rPr>
        <w:t xml:space="preserve">its ‘employer brand’ and how it can promote working for the city, and will continue to work towards being more reflective of the </w:t>
      </w:r>
      <w:r w:rsidR="00470FCE" w:rsidRPr="004F77E3">
        <w:rPr>
          <w:szCs w:val="22"/>
        </w:rPr>
        <w:t>communities it serves through ongoing initiatives such as targeted recruitment campaigns within the OX1 to OX4 postcode areas, as well as outreach work with local communities and schools.</w:t>
      </w:r>
      <w:r w:rsidR="00470FCE">
        <w:rPr>
          <w:szCs w:val="22"/>
        </w:rPr>
        <w:t xml:space="preserve"> </w:t>
      </w:r>
    </w:p>
    <w:p w:rsidR="00A90B02" w:rsidRDefault="00A90B02">
      <w:pPr>
        <w:rPr>
          <w:b/>
          <w:szCs w:val="22"/>
        </w:rPr>
      </w:pPr>
      <w:r>
        <w:rPr>
          <w:b/>
          <w:szCs w:val="22"/>
        </w:rPr>
        <w:br w:type="page"/>
      </w:r>
    </w:p>
    <w:p w:rsidR="007230F0" w:rsidRDefault="00846F8D" w:rsidP="008A22C6">
      <w:pPr>
        <w:rPr>
          <w:szCs w:val="22"/>
        </w:rPr>
      </w:pPr>
      <w:r>
        <w:rPr>
          <w:b/>
          <w:szCs w:val="22"/>
        </w:rPr>
        <w:lastRenderedPageBreak/>
        <w:t>STARTERS BETWEEN 2016 AND 2018</w:t>
      </w: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6A51CC" w:rsidRPr="00C245C6" w:rsidTr="00846F8D">
        <w:trPr>
          <w:trHeight w:val="315"/>
        </w:trPr>
        <w:tc>
          <w:tcPr>
            <w:tcW w:w="3652" w:type="dxa"/>
            <w:gridSpan w:val="3"/>
            <w:tcBorders>
              <w:top w:val="nil"/>
              <w:left w:val="nil"/>
              <w:bottom w:val="nil"/>
              <w:right w:val="nil"/>
            </w:tcBorders>
            <w:shd w:val="clear" w:color="auto" w:fill="auto"/>
            <w:noWrap/>
            <w:vAlign w:val="bottom"/>
            <w:hideMark/>
          </w:tcPr>
          <w:p w:rsidR="003E08A6" w:rsidRPr="003E08A6" w:rsidRDefault="003E08A6" w:rsidP="006A51CC">
            <w:pPr>
              <w:rPr>
                <w:rFonts w:eastAsia="Times New Roman"/>
                <w:b/>
                <w:bCs/>
                <w:color w:val="000000"/>
                <w:sz w:val="22"/>
                <w:lang w:eastAsia="en-GB"/>
              </w:rPr>
            </w:pPr>
          </w:p>
          <w:p w:rsidR="006A51CC" w:rsidRPr="00C245C6" w:rsidRDefault="006A51CC" w:rsidP="006A51CC">
            <w:pPr>
              <w:rPr>
                <w:rFonts w:eastAsia="Times New Roman"/>
                <w:b/>
                <w:bCs/>
                <w:color w:val="000000"/>
                <w:sz w:val="22"/>
                <w:lang w:eastAsia="en-GB"/>
              </w:rPr>
            </w:pPr>
            <w:r w:rsidRPr="003E08A6">
              <w:rPr>
                <w:rFonts w:eastAsia="Times New Roman"/>
                <w:b/>
                <w:bCs/>
                <w:color w:val="000000"/>
                <w:sz w:val="22"/>
                <w:lang w:eastAsia="en-GB"/>
              </w:rPr>
              <w:t>New starters during 2015/16</w:t>
            </w: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rsidR="006A51CC" w:rsidRPr="00C245C6" w:rsidRDefault="006A51CC" w:rsidP="006A51CC">
            <w:pPr>
              <w:rPr>
                <w:rFonts w:eastAsia="Times New Roman"/>
                <w:b/>
                <w:bCs/>
                <w:color w:val="000000"/>
                <w:sz w:val="22"/>
                <w:lang w:eastAsia="en-GB"/>
              </w:rPr>
            </w:pPr>
            <w:r w:rsidRPr="003E08A6">
              <w:rPr>
                <w:rFonts w:eastAsia="Times New Roman"/>
                <w:b/>
                <w:bCs/>
                <w:color w:val="000000"/>
                <w:sz w:val="22"/>
                <w:lang w:eastAsia="en-GB"/>
              </w:rPr>
              <w:t>New starters during 2016/17</w:t>
            </w: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rsidR="006A51CC" w:rsidRPr="00C245C6" w:rsidRDefault="006A51CC" w:rsidP="00FF726B">
            <w:pPr>
              <w:rPr>
                <w:rFonts w:eastAsia="Times New Roman"/>
                <w:b/>
                <w:bCs/>
                <w:color w:val="000000"/>
                <w:sz w:val="22"/>
                <w:lang w:eastAsia="en-GB"/>
              </w:rPr>
            </w:pPr>
            <w:r w:rsidRPr="003E08A6">
              <w:rPr>
                <w:rFonts w:eastAsia="Times New Roman"/>
                <w:b/>
                <w:bCs/>
                <w:color w:val="000000"/>
                <w:sz w:val="22"/>
                <w:lang w:eastAsia="en-GB"/>
              </w:rPr>
              <w:t>New starters during 2017/18</w:t>
            </w:r>
          </w:p>
        </w:tc>
      </w:tr>
      <w:tr w:rsidR="006A51CC" w:rsidRPr="00C245C6" w:rsidTr="00846F8D">
        <w:trPr>
          <w:trHeight w:val="315"/>
        </w:trPr>
        <w:tc>
          <w:tcPr>
            <w:tcW w:w="1366"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rsidR="006A51CC" w:rsidRPr="00C245C6" w:rsidRDefault="006A51CC" w:rsidP="00FF726B">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6A51CC" w:rsidRPr="00C245C6" w:rsidRDefault="006A51CC" w:rsidP="00FF726B">
            <w:pPr>
              <w:jc w:val="center"/>
              <w:rPr>
                <w:rFonts w:eastAsia="Times New Roman"/>
                <w:color w:val="000000"/>
                <w:sz w:val="16"/>
                <w:szCs w:val="22"/>
                <w:lang w:eastAsia="en-GB"/>
              </w:rPr>
            </w:pPr>
          </w:p>
        </w:tc>
      </w:tr>
      <w:tr w:rsidR="006A51CC" w:rsidRPr="00C245C6" w:rsidTr="00846F8D">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6A51CC" w:rsidRPr="00C245C6" w:rsidRDefault="000036A1" w:rsidP="00FF726B">
            <w:pPr>
              <w:rPr>
                <w:rFonts w:eastAsia="Times New Roman"/>
                <w:b/>
                <w:bCs/>
                <w:color w:val="000000"/>
                <w:sz w:val="20"/>
                <w:szCs w:val="20"/>
                <w:lang w:eastAsia="en-GB"/>
              </w:rPr>
            </w:pPr>
            <w:r>
              <w:rPr>
                <w:rFonts w:eastAsia="Times New Roman"/>
                <w:b/>
                <w:bCs/>
                <w:color w:val="000000"/>
                <w:sz w:val="20"/>
                <w:szCs w:val="20"/>
                <w:lang w:eastAsia="en-GB"/>
              </w:rPr>
              <w:t xml:space="preserve">Sex </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245C6" w:rsidRDefault="006A51CC"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245C6" w:rsidRDefault="006A51CC"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6A51CC" w:rsidRPr="00C245C6" w:rsidRDefault="000036A1" w:rsidP="00FF726B">
            <w:pPr>
              <w:rPr>
                <w:rFonts w:eastAsia="Times New Roman"/>
                <w:b/>
                <w:bCs/>
                <w:color w:val="000000"/>
                <w:sz w:val="20"/>
                <w:szCs w:val="20"/>
                <w:lang w:eastAsia="en-GB"/>
              </w:rPr>
            </w:pPr>
            <w:r>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245C6" w:rsidRDefault="006A51CC"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245C6" w:rsidRDefault="006A51CC"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6A51CC" w:rsidRPr="00C245C6" w:rsidRDefault="000036A1" w:rsidP="00FF726B">
            <w:pPr>
              <w:rPr>
                <w:rFonts w:eastAsia="Times New Roman"/>
                <w:b/>
                <w:bCs/>
                <w:color w:val="000000"/>
                <w:sz w:val="20"/>
                <w:szCs w:val="20"/>
                <w:lang w:eastAsia="en-GB"/>
              </w:rPr>
            </w:pPr>
            <w:r>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245C6" w:rsidRDefault="006A51CC"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6A51CC" w:rsidRPr="00C245C6" w:rsidRDefault="006A51CC"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r>
      <w:tr w:rsidR="006A51CC" w:rsidRPr="00C245C6" w:rsidTr="00846F8D">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6A51CC" w:rsidRPr="00C245C6" w:rsidRDefault="006A51CC" w:rsidP="00FF726B">
            <w:pPr>
              <w:rPr>
                <w:rFonts w:eastAsia="Times New Roman"/>
                <w:color w:val="000000"/>
                <w:sz w:val="20"/>
                <w:szCs w:val="20"/>
                <w:lang w:eastAsia="en-GB"/>
              </w:rPr>
            </w:pPr>
            <w:r w:rsidRPr="00C245C6">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46.63</w:t>
            </w:r>
          </w:p>
        </w:tc>
        <w:tc>
          <w:tcPr>
            <w:tcW w:w="972"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90</w:t>
            </w: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6A51CC" w:rsidRPr="00C245C6" w:rsidRDefault="006A51CC" w:rsidP="00FF726B">
            <w:pPr>
              <w:rPr>
                <w:rFonts w:eastAsia="Times New Roman"/>
                <w:color w:val="000000"/>
                <w:sz w:val="20"/>
                <w:szCs w:val="20"/>
                <w:lang w:eastAsia="en-GB"/>
              </w:rPr>
            </w:pPr>
            <w:r w:rsidRPr="00C245C6">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43.35</w:t>
            </w:r>
          </w:p>
        </w:tc>
        <w:tc>
          <w:tcPr>
            <w:tcW w:w="972"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114</w:t>
            </w: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6A51CC" w:rsidRPr="00C245C6" w:rsidRDefault="006A51CC" w:rsidP="00FF726B">
            <w:pPr>
              <w:rPr>
                <w:rFonts w:eastAsia="Times New Roman"/>
                <w:color w:val="000000"/>
                <w:sz w:val="20"/>
                <w:szCs w:val="20"/>
                <w:lang w:eastAsia="en-GB"/>
              </w:rPr>
            </w:pPr>
            <w:r w:rsidRPr="00C245C6">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33.56</w:t>
            </w:r>
          </w:p>
        </w:tc>
        <w:tc>
          <w:tcPr>
            <w:tcW w:w="972"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97</w:t>
            </w:r>
          </w:p>
        </w:tc>
      </w:tr>
      <w:tr w:rsidR="006A51CC" w:rsidRPr="00C245C6" w:rsidTr="00846F8D">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6A51CC" w:rsidRPr="00C245C6" w:rsidRDefault="006A51CC" w:rsidP="00FF726B">
            <w:pPr>
              <w:rPr>
                <w:rFonts w:eastAsia="Times New Roman"/>
                <w:color w:val="000000"/>
                <w:sz w:val="20"/>
                <w:szCs w:val="20"/>
                <w:lang w:eastAsia="en-GB"/>
              </w:rPr>
            </w:pPr>
            <w:r w:rsidRPr="00C245C6">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53.37</w:t>
            </w:r>
          </w:p>
        </w:tc>
        <w:tc>
          <w:tcPr>
            <w:tcW w:w="972"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103</w:t>
            </w: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6A51CC" w:rsidRPr="00C245C6" w:rsidRDefault="006A51CC" w:rsidP="00FF726B">
            <w:pPr>
              <w:rPr>
                <w:rFonts w:eastAsia="Times New Roman"/>
                <w:color w:val="000000"/>
                <w:sz w:val="20"/>
                <w:szCs w:val="20"/>
                <w:lang w:eastAsia="en-GB"/>
              </w:rPr>
            </w:pPr>
            <w:r w:rsidRPr="00C245C6">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56.65</w:t>
            </w:r>
          </w:p>
        </w:tc>
        <w:tc>
          <w:tcPr>
            <w:tcW w:w="972"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149</w:t>
            </w:r>
          </w:p>
        </w:tc>
        <w:tc>
          <w:tcPr>
            <w:tcW w:w="400" w:type="dxa"/>
            <w:tcBorders>
              <w:top w:val="nil"/>
              <w:left w:val="nil"/>
              <w:bottom w:val="nil"/>
              <w:right w:val="nil"/>
            </w:tcBorders>
            <w:shd w:val="clear" w:color="auto" w:fill="auto"/>
            <w:noWrap/>
            <w:vAlign w:val="bottom"/>
            <w:hideMark/>
          </w:tcPr>
          <w:p w:rsidR="006A51CC" w:rsidRPr="00C245C6" w:rsidRDefault="006A51CC"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6A51CC" w:rsidRPr="00C245C6" w:rsidRDefault="006A51CC" w:rsidP="00FF726B">
            <w:pPr>
              <w:rPr>
                <w:rFonts w:eastAsia="Times New Roman"/>
                <w:color w:val="000000"/>
                <w:sz w:val="20"/>
                <w:szCs w:val="20"/>
                <w:lang w:eastAsia="en-GB"/>
              </w:rPr>
            </w:pPr>
            <w:r w:rsidRPr="00C245C6">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66.44</w:t>
            </w:r>
          </w:p>
        </w:tc>
        <w:tc>
          <w:tcPr>
            <w:tcW w:w="972" w:type="dxa"/>
            <w:tcBorders>
              <w:top w:val="nil"/>
              <w:left w:val="nil"/>
              <w:bottom w:val="single" w:sz="8" w:space="0" w:color="auto"/>
              <w:right w:val="single" w:sz="8" w:space="0" w:color="auto"/>
            </w:tcBorders>
            <w:shd w:val="clear" w:color="auto" w:fill="auto"/>
            <w:noWrap/>
            <w:vAlign w:val="center"/>
          </w:tcPr>
          <w:p w:rsidR="006A51CC" w:rsidRDefault="006A51CC">
            <w:pPr>
              <w:jc w:val="center"/>
              <w:rPr>
                <w:color w:val="000000"/>
                <w:sz w:val="20"/>
                <w:szCs w:val="20"/>
              </w:rPr>
            </w:pPr>
            <w:r>
              <w:rPr>
                <w:color w:val="000000"/>
                <w:sz w:val="20"/>
                <w:szCs w:val="20"/>
              </w:rPr>
              <w:t>192</w:t>
            </w:r>
          </w:p>
        </w:tc>
      </w:tr>
      <w:tr w:rsidR="0028396B" w:rsidRPr="00C245C6" w:rsidTr="00846F8D">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FF726B">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28396B">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470FCE" w:rsidP="00FF726B">
            <w:pPr>
              <w:jc w:val="center"/>
              <w:rPr>
                <w:rFonts w:eastAsia="Times New Roman"/>
                <w:b/>
                <w:bCs/>
                <w:color w:val="000000"/>
                <w:sz w:val="20"/>
                <w:szCs w:val="20"/>
                <w:lang w:eastAsia="en-GB"/>
              </w:rPr>
            </w:pPr>
            <w:r>
              <w:rPr>
                <w:rFonts w:eastAsia="Times New Roman"/>
                <w:b/>
                <w:bCs/>
                <w:color w:val="000000"/>
                <w:sz w:val="20"/>
                <w:szCs w:val="20"/>
                <w:lang w:eastAsia="en-GB"/>
              </w:rPr>
              <w:t>193</w:t>
            </w:r>
          </w:p>
        </w:tc>
        <w:tc>
          <w:tcPr>
            <w:tcW w:w="400" w:type="dxa"/>
            <w:tcBorders>
              <w:top w:val="nil"/>
              <w:left w:val="nil"/>
              <w:bottom w:val="nil"/>
              <w:right w:val="nil"/>
            </w:tcBorders>
            <w:shd w:val="clear" w:color="auto" w:fill="auto"/>
            <w:noWrap/>
            <w:vAlign w:val="bottom"/>
            <w:hideMark/>
          </w:tcPr>
          <w:p w:rsidR="0028396B" w:rsidRPr="00C245C6" w:rsidRDefault="0028396B"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470FCE" w:rsidP="00FF726B">
            <w:pPr>
              <w:jc w:val="center"/>
              <w:rPr>
                <w:rFonts w:eastAsia="Times New Roman"/>
                <w:b/>
                <w:bCs/>
                <w:color w:val="000000"/>
                <w:sz w:val="20"/>
                <w:szCs w:val="20"/>
                <w:lang w:eastAsia="en-GB"/>
              </w:rPr>
            </w:pPr>
            <w:r>
              <w:rPr>
                <w:rFonts w:eastAsia="Times New Roman"/>
                <w:b/>
                <w:bCs/>
                <w:color w:val="000000"/>
                <w:sz w:val="20"/>
                <w:szCs w:val="20"/>
                <w:lang w:eastAsia="en-GB"/>
              </w:rPr>
              <w:t>263</w:t>
            </w:r>
          </w:p>
        </w:tc>
        <w:tc>
          <w:tcPr>
            <w:tcW w:w="400" w:type="dxa"/>
            <w:tcBorders>
              <w:top w:val="nil"/>
              <w:left w:val="nil"/>
              <w:bottom w:val="nil"/>
              <w:right w:val="nil"/>
            </w:tcBorders>
            <w:shd w:val="clear" w:color="auto" w:fill="auto"/>
            <w:noWrap/>
            <w:vAlign w:val="bottom"/>
            <w:hideMark/>
          </w:tcPr>
          <w:p w:rsidR="0028396B" w:rsidRPr="00C245C6" w:rsidRDefault="0028396B"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470FCE" w:rsidP="00FF726B">
            <w:pPr>
              <w:jc w:val="center"/>
              <w:rPr>
                <w:rFonts w:eastAsia="Times New Roman"/>
                <w:b/>
                <w:bCs/>
                <w:color w:val="000000"/>
                <w:sz w:val="20"/>
                <w:szCs w:val="20"/>
                <w:lang w:eastAsia="en-GB"/>
              </w:rPr>
            </w:pPr>
            <w:r>
              <w:rPr>
                <w:rFonts w:eastAsia="Times New Roman"/>
                <w:b/>
                <w:bCs/>
                <w:color w:val="000000"/>
                <w:sz w:val="20"/>
                <w:szCs w:val="20"/>
                <w:lang w:eastAsia="en-GB"/>
              </w:rPr>
              <w:t>289</w:t>
            </w:r>
          </w:p>
        </w:tc>
      </w:tr>
    </w:tbl>
    <w:p w:rsidR="00201954" w:rsidRDefault="00201954" w:rsidP="008A22C6">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01954" w:rsidRPr="00C245C6" w:rsidTr="00FF726B">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01954" w:rsidRDefault="00201954">
            <w:pPr>
              <w:rPr>
                <w:b/>
                <w:bCs/>
                <w:color w:val="000000"/>
                <w:sz w:val="20"/>
                <w:szCs w:val="20"/>
              </w:rPr>
            </w:pPr>
            <w:r>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01954" w:rsidRDefault="00201954">
            <w:pPr>
              <w:rPr>
                <w:b/>
                <w:bCs/>
                <w:color w:val="000000"/>
                <w:sz w:val="20"/>
                <w:szCs w:val="20"/>
              </w:rPr>
            </w:pPr>
            <w:r>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01954" w:rsidRDefault="00201954">
            <w:pPr>
              <w:rPr>
                <w:b/>
                <w:bCs/>
                <w:color w:val="000000"/>
                <w:sz w:val="20"/>
                <w:szCs w:val="20"/>
              </w:rPr>
            </w:pPr>
            <w:r>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r>
      <w:tr w:rsidR="00201954"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01954" w:rsidRDefault="00201954">
            <w:pPr>
              <w:rPr>
                <w:color w:val="000000"/>
                <w:sz w:val="20"/>
                <w:szCs w:val="20"/>
              </w:rPr>
            </w:pPr>
            <w:r>
              <w:rPr>
                <w:color w:val="000000"/>
                <w:sz w:val="20"/>
                <w:szCs w:val="20"/>
              </w:rPr>
              <w:t>B</w:t>
            </w:r>
            <w:r w:rsidR="00EF6EBB">
              <w:rPr>
                <w:color w:val="000000"/>
                <w:sz w:val="20"/>
                <w:szCs w:val="20"/>
              </w:rPr>
              <w:t>A</w:t>
            </w:r>
            <w:r>
              <w:rPr>
                <w:color w:val="000000"/>
                <w:sz w:val="20"/>
                <w:szCs w:val="20"/>
              </w:rPr>
              <w:t>ME</w:t>
            </w:r>
          </w:p>
        </w:tc>
        <w:tc>
          <w:tcPr>
            <w:tcW w:w="1314" w:type="dxa"/>
            <w:tcBorders>
              <w:top w:val="nil"/>
              <w:left w:val="nil"/>
              <w:bottom w:val="single" w:sz="8" w:space="0" w:color="auto"/>
              <w:right w:val="single" w:sz="8" w:space="0" w:color="auto"/>
            </w:tcBorders>
            <w:shd w:val="clear" w:color="auto" w:fill="auto"/>
            <w:noWrap/>
            <w:vAlign w:val="center"/>
          </w:tcPr>
          <w:p w:rsidR="00201954" w:rsidRPr="008E33F8" w:rsidRDefault="00201954">
            <w:pPr>
              <w:jc w:val="center"/>
              <w:rPr>
                <w:color w:val="000000"/>
                <w:sz w:val="20"/>
                <w:szCs w:val="20"/>
              </w:rPr>
            </w:pPr>
            <w:r w:rsidRPr="008E33F8">
              <w:rPr>
                <w:color w:val="000000"/>
                <w:sz w:val="20"/>
                <w:szCs w:val="20"/>
              </w:rPr>
              <w:t>12.44</w:t>
            </w:r>
          </w:p>
        </w:tc>
        <w:tc>
          <w:tcPr>
            <w:tcW w:w="972" w:type="dxa"/>
            <w:tcBorders>
              <w:top w:val="nil"/>
              <w:left w:val="nil"/>
              <w:bottom w:val="single" w:sz="8" w:space="0" w:color="auto"/>
              <w:right w:val="single" w:sz="8" w:space="0" w:color="auto"/>
            </w:tcBorders>
            <w:shd w:val="clear" w:color="auto" w:fill="auto"/>
            <w:noWrap/>
            <w:vAlign w:val="center"/>
          </w:tcPr>
          <w:p w:rsidR="00201954" w:rsidRPr="008E33F8" w:rsidRDefault="00201954">
            <w:pPr>
              <w:jc w:val="center"/>
              <w:rPr>
                <w:color w:val="000000"/>
                <w:sz w:val="20"/>
                <w:szCs w:val="20"/>
              </w:rPr>
            </w:pPr>
            <w:r w:rsidRPr="008E33F8">
              <w:rPr>
                <w:color w:val="000000"/>
                <w:sz w:val="20"/>
                <w:szCs w:val="20"/>
              </w:rPr>
              <w:t>24</w:t>
            </w:r>
          </w:p>
        </w:tc>
        <w:tc>
          <w:tcPr>
            <w:tcW w:w="400" w:type="dxa"/>
            <w:tcBorders>
              <w:top w:val="nil"/>
              <w:left w:val="nil"/>
              <w:bottom w:val="nil"/>
              <w:right w:val="nil"/>
            </w:tcBorders>
            <w:shd w:val="clear" w:color="auto" w:fill="auto"/>
            <w:noWrap/>
            <w:vAlign w:val="bottom"/>
            <w:hideMark/>
          </w:tcPr>
          <w:p w:rsidR="00201954" w:rsidRPr="008E33F8"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01954" w:rsidRPr="008E33F8" w:rsidRDefault="00201954">
            <w:pPr>
              <w:rPr>
                <w:color w:val="000000"/>
                <w:sz w:val="20"/>
                <w:szCs w:val="20"/>
              </w:rPr>
            </w:pPr>
            <w:r w:rsidRPr="008E33F8">
              <w:rPr>
                <w:color w:val="000000"/>
                <w:sz w:val="20"/>
                <w:szCs w:val="20"/>
              </w:rPr>
              <w:t>B</w:t>
            </w:r>
            <w:r w:rsidR="00EF6EBB" w:rsidRPr="008E33F8">
              <w:rPr>
                <w:color w:val="000000"/>
                <w:sz w:val="20"/>
                <w:szCs w:val="20"/>
              </w:rPr>
              <w:t>A</w:t>
            </w:r>
            <w:r w:rsidRPr="008E33F8">
              <w:rPr>
                <w:color w:val="000000"/>
                <w:sz w:val="20"/>
                <w:szCs w:val="20"/>
              </w:rPr>
              <w:t>ME</w:t>
            </w:r>
          </w:p>
        </w:tc>
        <w:tc>
          <w:tcPr>
            <w:tcW w:w="1314" w:type="dxa"/>
            <w:tcBorders>
              <w:top w:val="nil"/>
              <w:left w:val="nil"/>
              <w:bottom w:val="single" w:sz="8" w:space="0" w:color="auto"/>
              <w:right w:val="single" w:sz="8" w:space="0" w:color="auto"/>
            </w:tcBorders>
            <w:shd w:val="clear" w:color="auto" w:fill="auto"/>
            <w:noWrap/>
            <w:vAlign w:val="center"/>
          </w:tcPr>
          <w:p w:rsidR="00201954" w:rsidRPr="008E33F8" w:rsidRDefault="00201954">
            <w:pPr>
              <w:jc w:val="center"/>
              <w:rPr>
                <w:color w:val="000000"/>
                <w:sz w:val="20"/>
                <w:szCs w:val="20"/>
              </w:rPr>
            </w:pPr>
            <w:r w:rsidRPr="008E33F8">
              <w:rPr>
                <w:color w:val="000000"/>
                <w:sz w:val="20"/>
                <w:szCs w:val="20"/>
              </w:rPr>
              <w:t>8.75</w:t>
            </w:r>
          </w:p>
        </w:tc>
        <w:tc>
          <w:tcPr>
            <w:tcW w:w="972" w:type="dxa"/>
            <w:tcBorders>
              <w:top w:val="nil"/>
              <w:left w:val="nil"/>
              <w:bottom w:val="single" w:sz="8" w:space="0" w:color="auto"/>
              <w:right w:val="single" w:sz="8" w:space="0" w:color="auto"/>
            </w:tcBorders>
            <w:shd w:val="clear" w:color="auto" w:fill="auto"/>
            <w:noWrap/>
            <w:vAlign w:val="center"/>
          </w:tcPr>
          <w:p w:rsidR="00201954" w:rsidRPr="008E33F8" w:rsidRDefault="00201954">
            <w:pPr>
              <w:jc w:val="center"/>
              <w:rPr>
                <w:color w:val="000000"/>
                <w:sz w:val="20"/>
                <w:szCs w:val="20"/>
              </w:rPr>
            </w:pPr>
            <w:r w:rsidRPr="008E33F8">
              <w:rPr>
                <w:color w:val="000000"/>
                <w:sz w:val="20"/>
                <w:szCs w:val="20"/>
              </w:rPr>
              <w:t>23</w:t>
            </w:r>
          </w:p>
        </w:tc>
        <w:tc>
          <w:tcPr>
            <w:tcW w:w="400" w:type="dxa"/>
            <w:tcBorders>
              <w:top w:val="nil"/>
              <w:left w:val="nil"/>
              <w:bottom w:val="nil"/>
              <w:right w:val="nil"/>
            </w:tcBorders>
            <w:shd w:val="clear" w:color="auto" w:fill="auto"/>
            <w:noWrap/>
            <w:vAlign w:val="bottom"/>
            <w:hideMark/>
          </w:tcPr>
          <w:p w:rsidR="00201954" w:rsidRPr="008E33F8"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01954" w:rsidRPr="008E33F8" w:rsidRDefault="00201954">
            <w:pPr>
              <w:rPr>
                <w:color w:val="000000"/>
                <w:sz w:val="20"/>
                <w:szCs w:val="20"/>
              </w:rPr>
            </w:pPr>
            <w:r w:rsidRPr="008E33F8">
              <w:rPr>
                <w:color w:val="000000"/>
                <w:sz w:val="20"/>
                <w:szCs w:val="20"/>
              </w:rPr>
              <w:t>B</w:t>
            </w:r>
            <w:r w:rsidR="00EF6EBB" w:rsidRPr="008E33F8">
              <w:rPr>
                <w:color w:val="000000"/>
                <w:sz w:val="20"/>
                <w:szCs w:val="20"/>
              </w:rPr>
              <w:t>A</w:t>
            </w:r>
            <w:r w:rsidRPr="008E33F8">
              <w:rPr>
                <w:color w:val="000000"/>
                <w:sz w:val="20"/>
                <w:szCs w:val="20"/>
              </w:rPr>
              <w:t>ME</w:t>
            </w:r>
          </w:p>
        </w:tc>
        <w:tc>
          <w:tcPr>
            <w:tcW w:w="1314" w:type="dxa"/>
            <w:tcBorders>
              <w:top w:val="nil"/>
              <w:left w:val="nil"/>
              <w:bottom w:val="single" w:sz="8" w:space="0" w:color="auto"/>
              <w:right w:val="single" w:sz="8" w:space="0" w:color="auto"/>
            </w:tcBorders>
            <w:shd w:val="clear" w:color="auto" w:fill="auto"/>
            <w:noWrap/>
            <w:vAlign w:val="center"/>
          </w:tcPr>
          <w:p w:rsidR="00201954" w:rsidRPr="008E33F8" w:rsidRDefault="00201954">
            <w:pPr>
              <w:jc w:val="center"/>
              <w:rPr>
                <w:color w:val="000000"/>
                <w:sz w:val="20"/>
                <w:szCs w:val="20"/>
              </w:rPr>
            </w:pPr>
            <w:r w:rsidRPr="008E33F8">
              <w:rPr>
                <w:color w:val="000000"/>
                <w:sz w:val="20"/>
                <w:szCs w:val="20"/>
              </w:rPr>
              <w:t>7.960</w:t>
            </w:r>
          </w:p>
        </w:tc>
        <w:tc>
          <w:tcPr>
            <w:tcW w:w="972" w:type="dxa"/>
            <w:tcBorders>
              <w:top w:val="nil"/>
              <w:left w:val="nil"/>
              <w:bottom w:val="single" w:sz="8" w:space="0" w:color="auto"/>
              <w:right w:val="single" w:sz="8" w:space="0" w:color="auto"/>
            </w:tcBorders>
            <w:shd w:val="clear" w:color="auto" w:fill="auto"/>
            <w:noWrap/>
            <w:vAlign w:val="center"/>
          </w:tcPr>
          <w:p w:rsidR="00201954" w:rsidRPr="008E33F8" w:rsidRDefault="00201954">
            <w:pPr>
              <w:jc w:val="center"/>
              <w:rPr>
                <w:color w:val="000000"/>
                <w:sz w:val="20"/>
                <w:szCs w:val="20"/>
              </w:rPr>
            </w:pPr>
            <w:r w:rsidRPr="008E33F8">
              <w:rPr>
                <w:color w:val="000000"/>
                <w:sz w:val="20"/>
                <w:szCs w:val="20"/>
              </w:rPr>
              <w:t>23</w:t>
            </w:r>
            <w:bookmarkStart w:id="0" w:name="_GoBack"/>
            <w:bookmarkEnd w:id="0"/>
          </w:p>
        </w:tc>
      </w:tr>
      <w:tr w:rsidR="00201954"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01954" w:rsidRDefault="00201954">
            <w:pPr>
              <w:rPr>
                <w:color w:val="000000"/>
                <w:sz w:val="20"/>
                <w:szCs w:val="20"/>
              </w:rPr>
            </w:pPr>
            <w:r>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66.84</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129</w:t>
            </w:r>
          </w:p>
        </w:tc>
        <w:tc>
          <w:tcPr>
            <w:tcW w:w="400" w:type="dxa"/>
            <w:tcBorders>
              <w:top w:val="nil"/>
              <w:left w:val="nil"/>
              <w:bottom w:val="nil"/>
              <w:right w:val="nil"/>
            </w:tcBorders>
            <w:shd w:val="clear" w:color="auto" w:fill="auto"/>
            <w:noWrap/>
            <w:vAlign w:val="bottom"/>
            <w:hideMark/>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01954" w:rsidRDefault="00201954">
            <w:pPr>
              <w:rPr>
                <w:color w:val="000000"/>
                <w:sz w:val="20"/>
                <w:szCs w:val="20"/>
              </w:rPr>
            </w:pPr>
            <w:r>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59.70</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157</w:t>
            </w:r>
          </w:p>
        </w:tc>
        <w:tc>
          <w:tcPr>
            <w:tcW w:w="400" w:type="dxa"/>
            <w:tcBorders>
              <w:top w:val="nil"/>
              <w:left w:val="nil"/>
              <w:bottom w:val="nil"/>
              <w:right w:val="nil"/>
            </w:tcBorders>
            <w:shd w:val="clear" w:color="auto" w:fill="auto"/>
            <w:noWrap/>
            <w:vAlign w:val="bottom"/>
            <w:hideMark/>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201954" w:rsidRDefault="00201954">
            <w:pPr>
              <w:rPr>
                <w:color w:val="000000"/>
                <w:sz w:val="20"/>
                <w:szCs w:val="20"/>
              </w:rPr>
            </w:pPr>
            <w:r>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51.900</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150</w:t>
            </w:r>
          </w:p>
        </w:tc>
      </w:tr>
      <w:tr w:rsidR="00201954"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20.72</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40</w:t>
            </w:r>
          </w:p>
        </w:tc>
        <w:tc>
          <w:tcPr>
            <w:tcW w:w="400" w:type="dxa"/>
            <w:tcBorders>
              <w:top w:val="nil"/>
              <w:left w:val="nil"/>
              <w:bottom w:val="nil"/>
              <w:right w:val="nil"/>
            </w:tcBorders>
            <w:shd w:val="clear" w:color="auto" w:fill="auto"/>
            <w:noWrap/>
            <w:vAlign w:val="bottom"/>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31.55</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83</w:t>
            </w:r>
          </w:p>
        </w:tc>
        <w:tc>
          <w:tcPr>
            <w:tcW w:w="400" w:type="dxa"/>
            <w:tcBorders>
              <w:top w:val="nil"/>
              <w:left w:val="nil"/>
              <w:bottom w:val="nil"/>
              <w:right w:val="nil"/>
            </w:tcBorders>
            <w:shd w:val="clear" w:color="auto" w:fill="auto"/>
            <w:noWrap/>
            <w:vAlign w:val="bottom"/>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40.140</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116</w:t>
            </w:r>
          </w:p>
        </w:tc>
      </w:tr>
      <w:tr w:rsidR="0028396B" w:rsidRPr="00C245C6" w:rsidTr="00FF72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Pr>
                <w:rFonts w:eastAsia="Times New Roman"/>
                <w:b/>
                <w:bCs/>
                <w:color w:val="000000"/>
                <w:sz w:val="20"/>
                <w:szCs w:val="20"/>
                <w:lang w:eastAsia="en-GB"/>
              </w:rPr>
              <w:t>193</w:t>
            </w:r>
          </w:p>
        </w:tc>
        <w:tc>
          <w:tcPr>
            <w:tcW w:w="400" w:type="dxa"/>
            <w:tcBorders>
              <w:top w:val="nil"/>
              <w:left w:val="nil"/>
              <w:bottom w:val="nil"/>
              <w:right w:val="nil"/>
            </w:tcBorders>
            <w:shd w:val="clear" w:color="auto" w:fill="auto"/>
            <w:noWrap/>
            <w:vAlign w:val="bottom"/>
            <w:hideMark/>
          </w:tcPr>
          <w:p w:rsidR="0028396B" w:rsidRPr="00C245C6" w:rsidRDefault="0028396B"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Pr>
                <w:rFonts w:eastAsia="Times New Roman"/>
                <w:b/>
                <w:bCs/>
                <w:color w:val="000000"/>
                <w:sz w:val="20"/>
                <w:szCs w:val="20"/>
                <w:lang w:eastAsia="en-GB"/>
              </w:rPr>
              <w:t>263</w:t>
            </w:r>
          </w:p>
        </w:tc>
        <w:tc>
          <w:tcPr>
            <w:tcW w:w="400" w:type="dxa"/>
            <w:tcBorders>
              <w:top w:val="nil"/>
              <w:left w:val="nil"/>
              <w:bottom w:val="nil"/>
              <w:right w:val="nil"/>
            </w:tcBorders>
            <w:shd w:val="clear" w:color="auto" w:fill="auto"/>
            <w:noWrap/>
            <w:vAlign w:val="bottom"/>
            <w:hideMark/>
          </w:tcPr>
          <w:p w:rsidR="0028396B" w:rsidRPr="00C245C6" w:rsidRDefault="0028396B"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Pr>
                <w:rFonts w:eastAsia="Times New Roman"/>
                <w:b/>
                <w:bCs/>
                <w:color w:val="000000"/>
                <w:sz w:val="20"/>
                <w:szCs w:val="20"/>
                <w:lang w:eastAsia="en-GB"/>
              </w:rPr>
              <w:t>289</w:t>
            </w:r>
          </w:p>
        </w:tc>
      </w:tr>
    </w:tbl>
    <w:p w:rsidR="00201954" w:rsidRDefault="00201954" w:rsidP="008A22C6">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01954" w:rsidRPr="00C245C6" w:rsidTr="00FF726B">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01954" w:rsidRDefault="00201954" w:rsidP="00FF726B">
            <w:pPr>
              <w:rPr>
                <w:b/>
                <w:bCs/>
                <w:color w:val="000000"/>
                <w:sz w:val="20"/>
                <w:szCs w:val="20"/>
              </w:rPr>
            </w:pPr>
            <w:r>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01954" w:rsidRDefault="00201954" w:rsidP="00FF726B">
            <w:pPr>
              <w:rPr>
                <w:b/>
                <w:bCs/>
                <w:color w:val="000000"/>
                <w:sz w:val="20"/>
                <w:szCs w:val="20"/>
              </w:rPr>
            </w:pPr>
            <w:r>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01954" w:rsidRDefault="00201954" w:rsidP="00FF726B">
            <w:pPr>
              <w:rPr>
                <w:b/>
                <w:bCs/>
                <w:color w:val="000000"/>
                <w:sz w:val="20"/>
                <w:szCs w:val="20"/>
              </w:rPr>
            </w:pPr>
            <w:r>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01954" w:rsidRPr="00C245C6" w:rsidRDefault="00201954" w:rsidP="00FF726B">
            <w:pPr>
              <w:jc w:val="center"/>
              <w:rPr>
                <w:rFonts w:eastAsia="Times New Roman"/>
                <w:b/>
                <w:bCs/>
                <w:color w:val="000000"/>
                <w:sz w:val="20"/>
                <w:szCs w:val="20"/>
                <w:lang w:eastAsia="en-GB"/>
              </w:rPr>
            </w:pPr>
            <w:r>
              <w:rPr>
                <w:rFonts w:eastAsia="Times New Roman"/>
                <w:b/>
                <w:bCs/>
                <w:color w:val="000000"/>
                <w:sz w:val="20"/>
                <w:szCs w:val="20"/>
                <w:lang w:eastAsia="en-GB"/>
              </w:rPr>
              <w:t>Number</w:t>
            </w:r>
          </w:p>
        </w:tc>
      </w:tr>
      <w:tr w:rsidR="00201954"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rsidP="00FF726B">
            <w:pPr>
              <w:rPr>
                <w:color w:val="000000"/>
                <w:sz w:val="20"/>
                <w:szCs w:val="20"/>
              </w:rPr>
            </w:pPr>
            <w:r>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75.13</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145</w:t>
            </w:r>
          </w:p>
        </w:tc>
        <w:tc>
          <w:tcPr>
            <w:tcW w:w="400" w:type="dxa"/>
            <w:tcBorders>
              <w:top w:val="nil"/>
              <w:left w:val="nil"/>
              <w:bottom w:val="nil"/>
              <w:right w:val="nil"/>
            </w:tcBorders>
            <w:shd w:val="clear" w:color="auto" w:fill="auto"/>
            <w:noWrap/>
            <w:vAlign w:val="bottom"/>
            <w:hideMark/>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rsidP="00FF726B">
            <w:pPr>
              <w:rPr>
                <w:color w:val="000000"/>
                <w:sz w:val="20"/>
                <w:szCs w:val="20"/>
              </w:rPr>
            </w:pPr>
            <w:r>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94.68</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249</w:t>
            </w:r>
          </w:p>
        </w:tc>
        <w:tc>
          <w:tcPr>
            <w:tcW w:w="400" w:type="dxa"/>
            <w:tcBorders>
              <w:top w:val="nil"/>
              <w:left w:val="nil"/>
              <w:bottom w:val="nil"/>
              <w:right w:val="nil"/>
            </w:tcBorders>
            <w:shd w:val="clear" w:color="auto" w:fill="auto"/>
            <w:noWrap/>
            <w:vAlign w:val="bottom"/>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rsidP="00FF726B">
            <w:pPr>
              <w:rPr>
                <w:color w:val="000000"/>
                <w:sz w:val="20"/>
                <w:szCs w:val="20"/>
              </w:rPr>
            </w:pPr>
            <w:r>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82.70</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239</w:t>
            </w:r>
          </w:p>
        </w:tc>
      </w:tr>
      <w:tr w:rsidR="00201954"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rsidP="00FF726B">
            <w:pPr>
              <w:rPr>
                <w:color w:val="000000"/>
                <w:sz w:val="20"/>
                <w:szCs w:val="20"/>
              </w:rPr>
            </w:pPr>
            <w:r>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2.59</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5</w:t>
            </w:r>
          </w:p>
        </w:tc>
        <w:tc>
          <w:tcPr>
            <w:tcW w:w="400" w:type="dxa"/>
            <w:tcBorders>
              <w:top w:val="nil"/>
              <w:left w:val="nil"/>
              <w:bottom w:val="nil"/>
              <w:right w:val="nil"/>
            </w:tcBorders>
            <w:shd w:val="clear" w:color="auto" w:fill="auto"/>
            <w:noWrap/>
            <w:vAlign w:val="bottom"/>
            <w:hideMark/>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rsidP="00FF726B">
            <w:pPr>
              <w:rPr>
                <w:color w:val="000000"/>
                <w:sz w:val="20"/>
                <w:szCs w:val="20"/>
              </w:rPr>
            </w:pPr>
            <w:r>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2.28</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6</w:t>
            </w:r>
          </w:p>
        </w:tc>
        <w:tc>
          <w:tcPr>
            <w:tcW w:w="400" w:type="dxa"/>
            <w:tcBorders>
              <w:top w:val="nil"/>
              <w:left w:val="nil"/>
              <w:bottom w:val="nil"/>
              <w:right w:val="nil"/>
            </w:tcBorders>
            <w:shd w:val="clear" w:color="auto" w:fill="auto"/>
            <w:noWrap/>
            <w:vAlign w:val="bottom"/>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rsidP="00FF726B">
            <w:pPr>
              <w:rPr>
                <w:color w:val="000000"/>
                <w:sz w:val="20"/>
                <w:szCs w:val="20"/>
              </w:rPr>
            </w:pPr>
            <w:r>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2.42</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7</w:t>
            </w:r>
          </w:p>
        </w:tc>
      </w:tr>
      <w:tr w:rsidR="00201954" w:rsidTr="00FF726B">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rsidP="00FF726B">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22.28</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43</w:t>
            </w:r>
          </w:p>
        </w:tc>
        <w:tc>
          <w:tcPr>
            <w:tcW w:w="400" w:type="dxa"/>
            <w:tcBorders>
              <w:top w:val="nil"/>
              <w:left w:val="nil"/>
              <w:bottom w:val="nil"/>
              <w:right w:val="nil"/>
            </w:tcBorders>
            <w:shd w:val="clear" w:color="auto" w:fill="auto"/>
            <w:noWrap/>
            <w:vAlign w:val="bottom"/>
            <w:hideMark/>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rsidP="00FF726B">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3.04</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8</w:t>
            </w:r>
          </w:p>
        </w:tc>
        <w:tc>
          <w:tcPr>
            <w:tcW w:w="400" w:type="dxa"/>
            <w:tcBorders>
              <w:top w:val="nil"/>
              <w:left w:val="nil"/>
              <w:bottom w:val="nil"/>
              <w:right w:val="nil"/>
            </w:tcBorders>
            <w:shd w:val="clear" w:color="auto" w:fill="auto"/>
            <w:noWrap/>
            <w:vAlign w:val="bottom"/>
          </w:tcPr>
          <w:p w:rsidR="00201954" w:rsidRPr="00C245C6" w:rsidRDefault="00201954"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201954" w:rsidRDefault="00201954" w:rsidP="00FF726B">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14.88</w:t>
            </w:r>
          </w:p>
        </w:tc>
        <w:tc>
          <w:tcPr>
            <w:tcW w:w="972" w:type="dxa"/>
            <w:tcBorders>
              <w:top w:val="nil"/>
              <w:left w:val="nil"/>
              <w:bottom w:val="single" w:sz="8" w:space="0" w:color="auto"/>
              <w:right w:val="single" w:sz="8" w:space="0" w:color="auto"/>
            </w:tcBorders>
            <w:shd w:val="clear" w:color="auto" w:fill="auto"/>
            <w:noWrap/>
            <w:vAlign w:val="center"/>
          </w:tcPr>
          <w:p w:rsidR="00201954" w:rsidRDefault="00201954">
            <w:pPr>
              <w:jc w:val="center"/>
              <w:rPr>
                <w:color w:val="000000"/>
                <w:sz w:val="20"/>
                <w:szCs w:val="20"/>
              </w:rPr>
            </w:pPr>
            <w:r>
              <w:rPr>
                <w:color w:val="000000"/>
                <w:sz w:val="20"/>
                <w:szCs w:val="20"/>
              </w:rPr>
              <w:t>43</w:t>
            </w:r>
          </w:p>
        </w:tc>
      </w:tr>
      <w:tr w:rsidR="0028396B" w:rsidRPr="00C245C6" w:rsidTr="00FF72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Pr>
                <w:rFonts w:eastAsia="Times New Roman"/>
                <w:b/>
                <w:bCs/>
                <w:color w:val="000000"/>
                <w:sz w:val="20"/>
                <w:szCs w:val="20"/>
                <w:lang w:eastAsia="en-GB"/>
              </w:rPr>
              <w:t>193</w:t>
            </w:r>
          </w:p>
        </w:tc>
        <w:tc>
          <w:tcPr>
            <w:tcW w:w="400" w:type="dxa"/>
            <w:tcBorders>
              <w:top w:val="nil"/>
              <w:left w:val="nil"/>
              <w:bottom w:val="nil"/>
              <w:right w:val="nil"/>
            </w:tcBorders>
            <w:shd w:val="clear" w:color="auto" w:fill="auto"/>
            <w:noWrap/>
            <w:vAlign w:val="bottom"/>
            <w:hideMark/>
          </w:tcPr>
          <w:p w:rsidR="0028396B" w:rsidRPr="00C245C6" w:rsidRDefault="0028396B"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Pr>
                <w:rFonts w:eastAsia="Times New Roman"/>
                <w:b/>
                <w:bCs/>
                <w:color w:val="000000"/>
                <w:sz w:val="20"/>
                <w:szCs w:val="20"/>
                <w:lang w:eastAsia="en-GB"/>
              </w:rPr>
              <w:t>263</w:t>
            </w:r>
          </w:p>
        </w:tc>
        <w:tc>
          <w:tcPr>
            <w:tcW w:w="400" w:type="dxa"/>
            <w:tcBorders>
              <w:top w:val="nil"/>
              <w:left w:val="nil"/>
              <w:bottom w:val="nil"/>
              <w:right w:val="nil"/>
            </w:tcBorders>
            <w:shd w:val="clear" w:color="auto" w:fill="auto"/>
            <w:noWrap/>
            <w:vAlign w:val="bottom"/>
            <w:hideMark/>
          </w:tcPr>
          <w:p w:rsidR="0028396B" w:rsidRPr="00C245C6" w:rsidRDefault="0028396B" w:rsidP="00FF726B">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28396B" w:rsidRPr="00C245C6" w:rsidRDefault="0028396B"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hideMark/>
          </w:tcPr>
          <w:p w:rsidR="0028396B" w:rsidRPr="00C245C6" w:rsidRDefault="0028396B" w:rsidP="00FF726B">
            <w:pPr>
              <w:jc w:val="center"/>
              <w:rPr>
                <w:rFonts w:eastAsia="Times New Roman"/>
                <w:b/>
                <w:bCs/>
                <w:color w:val="000000"/>
                <w:sz w:val="20"/>
                <w:szCs w:val="20"/>
                <w:lang w:eastAsia="en-GB"/>
              </w:rPr>
            </w:pPr>
            <w:r>
              <w:rPr>
                <w:rFonts w:eastAsia="Times New Roman"/>
                <w:b/>
                <w:bCs/>
                <w:color w:val="000000"/>
                <w:sz w:val="20"/>
                <w:szCs w:val="20"/>
                <w:lang w:eastAsia="en-GB"/>
              </w:rPr>
              <w:t>289</w:t>
            </w:r>
          </w:p>
        </w:tc>
      </w:tr>
    </w:tbl>
    <w:p w:rsidR="00201954" w:rsidRDefault="00201954" w:rsidP="008A22C6">
      <w:pPr>
        <w:rPr>
          <w:szCs w:val="22"/>
        </w:rPr>
      </w:pPr>
    </w:p>
    <w:p w:rsidR="00FF726B" w:rsidRPr="000540D8" w:rsidRDefault="00FF726B" w:rsidP="00FF726B">
      <w:pPr>
        <w:rPr>
          <w:szCs w:val="22"/>
        </w:rPr>
      </w:pPr>
      <w:r w:rsidRPr="000540D8">
        <w:rPr>
          <w:b/>
          <w:szCs w:val="22"/>
        </w:rPr>
        <w:t xml:space="preserve">Commentary: </w:t>
      </w:r>
      <w:r w:rsidRPr="000540D8">
        <w:rPr>
          <w:szCs w:val="22"/>
        </w:rPr>
        <w:t xml:space="preserve">The proportion of female new starters has reduced since 2015/16, with a significant fall between 2016/17 and 2017/18. Although the number of new starters from a BAME group has remained stable, this is offset by a significant growth in the number of staff who did not provide details of their ethnicity at the </w:t>
      </w:r>
      <w:proofErr w:type="spellStart"/>
      <w:r w:rsidRPr="000540D8">
        <w:rPr>
          <w:szCs w:val="22"/>
        </w:rPr>
        <w:t>onboarding</w:t>
      </w:r>
      <w:proofErr w:type="spellEnd"/>
      <w:r w:rsidRPr="000540D8">
        <w:rPr>
          <w:szCs w:val="22"/>
        </w:rPr>
        <w:t xml:space="preserve"> stage. Similarly, whilst the number of new starters who declared themselves as having a disability has steadily increased, there has been a significant increase in the numbers of staff who have not specified whether they have a disability</w:t>
      </w:r>
      <w:r w:rsidR="00C31F3F" w:rsidRPr="000540D8">
        <w:rPr>
          <w:szCs w:val="22"/>
        </w:rPr>
        <w:t xml:space="preserve"> at the </w:t>
      </w:r>
      <w:proofErr w:type="spellStart"/>
      <w:r w:rsidR="00C31F3F" w:rsidRPr="000540D8">
        <w:rPr>
          <w:szCs w:val="22"/>
        </w:rPr>
        <w:t>onboarding</w:t>
      </w:r>
      <w:proofErr w:type="spellEnd"/>
      <w:r w:rsidR="00C31F3F" w:rsidRPr="000540D8">
        <w:rPr>
          <w:szCs w:val="22"/>
        </w:rPr>
        <w:t xml:space="preserve"> stage</w:t>
      </w:r>
      <w:r w:rsidRPr="004F77E3">
        <w:rPr>
          <w:szCs w:val="22"/>
        </w:rPr>
        <w:t xml:space="preserve">. </w:t>
      </w:r>
      <w:r w:rsidR="00C31F3F" w:rsidRPr="004F77E3">
        <w:rPr>
          <w:szCs w:val="22"/>
        </w:rPr>
        <w:t xml:space="preserve">An important area of work in forthcoming years will be interventions to encourage colleagues who have decided not to specify their ethnic origin or disabled status to provide this information, in order that the Council can gain a clearer </w:t>
      </w:r>
      <w:r w:rsidR="00701098" w:rsidRPr="004F77E3">
        <w:rPr>
          <w:szCs w:val="22"/>
        </w:rPr>
        <w:t>understanding</w:t>
      </w:r>
      <w:r w:rsidR="00C31F3F" w:rsidRPr="004E220D">
        <w:rPr>
          <w:szCs w:val="22"/>
        </w:rPr>
        <w:t xml:space="preserve"> of the composition </w:t>
      </w:r>
      <w:r w:rsidR="003F0649" w:rsidRPr="009D339C">
        <w:rPr>
          <w:szCs w:val="22"/>
        </w:rPr>
        <w:t xml:space="preserve">and needs </w:t>
      </w:r>
      <w:r w:rsidR="00C31F3F" w:rsidRPr="009D339C">
        <w:rPr>
          <w:szCs w:val="22"/>
        </w:rPr>
        <w:t>of its workforce</w:t>
      </w:r>
      <w:r w:rsidR="004F77E3">
        <w:rPr>
          <w:szCs w:val="22"/>
        </w:rPr>
        <w:t>.</w:t>
      </w:r>
    </w:p>
    <w:p w:rsidR="00FF726B" w:rsidRDefault="005732E5" w:rsidP="008A22C6">
      <w:pPr>
        <w:rPr>
          <w:b/>
          <w:szCs w:val="22"/>
        </w:rPr>
      </w:pPr>
      <w:r>
        <w:rPr>
          <w:b/>
          <w:szCs w:val="22"/>
        </w:rPr>
        <w:lastRenderedPageBreak/>
        <w:t>LEAVERS BETWEEN 2016 AND 2018</w:t>
      </w:r>
    </w:p>
    <w:p w:rsidR="005732E5" w:rsidRDefault="005732E5" w:rsidP="008A22C6">
      <w:pPr>
        <w:rPr>
          <w:b/>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8396B" w:rsidRPr="00C245C6" w:rsidTr="00A364AF">
        <w:trPr>
          <w:trHeight w:val="315"/>
        </w:trPr>
        <w:tc>
          <w:tcPr>
            <w:tcW w:w="3652" w:type="dxa"/>
            <w:gridSpan w:val="3"/>
            <w:tcBorders>
              <w:top w:val="nil"/>
              <w:left w:val="nil"/>
              <w:bottom w:val="nil"/>
              <w:right w:val="nil"/>
            </w:tcBorders>
            <w:shd w:val="clear" w:color="auto" w:fill="auto"/>
            <w:noWrap/>
            <w:vAlign w:val="bottom"/>
            <w:hideMark/>
          </w:tcPr>
          <w:p w:rsidR="0028396B" w:rsidRPr="00C245C6" w:rsidRDefault="0028396B" w:rsidP="00A364AF">
            <w:pPr>
              <w:rPr>
                <w:rFonts w:eastAsia="Times New Roman"/>
                <w:b/>
                <w:bCs/>
                <w:color w:val="000000"/>
                <w:sz w:val="22"/>
                <w:lang w:eastAsia="en-GB"/>
              </w:rPr>
            </w:pPr>
            <w:r>
              <w:rPr>
                <w:rFonts w:eastAsia="Times New Roman"/>
                <w:b/>
                <w:bCs/>
                <w:color w:val="000000"/>
                <w:sz w:val="22"/>
                <w:lang w:eastAsia="en-GB"/>
              </w:rPr>
              <w:t>Leavers</w:t>
            </w:r>
            <w:r w:rsidRPr="003E08A6">
              <w:rPr>
                <w:rFonts w:eastAsia="Times New Roman"/>
                <w:b/>
                <w:bCs/>
                <w:color w:val="000000"/>
                <w:sz w:val="22"/>
                <w:lang w:eastAsia="en-GB"/>
              </w:rPr>
              <w:t xml:space="preserve"> during 2015/16</w:t>
            </w: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rsidR="0028396B" w:rsidRPr="00C245C6" w:rsidRDefault="0028396B" w:rsidP="00A364AF">
            <w:pPr>
              <w:rPr>
                <w:rFonts w:eastAsia="Times New Roman"/>
                <w:b/>
                <w:bCs/>
                <w:color w:val="000000"/>
                <w:sz w:val="22"/>
                <w:lang w:eastAsia="en-GB"/>
              </w:rPr>
            </w:pPr>
            <w:r>
              <w:rPr>
                <w:rFonts w:eastAsia="Times New Roman"/>
                <w:b/>
                <w:bCs/>
                <w:color w:val="000000"/>
                <w:sz w:val="22"/>
                <w:lang w:eastAsia="en-GB"/>
              </w:rPr>
              <w:t>Leavers</w:t>
            </w:r>
            <w:r w:rsidRPr="003E08A6">
              <w:rPr>
                <w:rFonts w:eastAsia="Times New Roman"/>
                <w:b/>
                <w:bCs/>
                <w:color w:val="000000"/>
                <w:sz w:val="22"/>
                <w:lang w:eastAsia="en-GB"/>
              </w:rPr>
              <w:t xml:space="preserve"> during 2016/17</w:t>
            </w: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22"/>
                <w:lang w:eastAsia="en-GB"/>
              </w:rPr>
            </w:pPr>
          </w:p>
        </w:tc>
        <w:tc>
          <w:tcPr>
            <w:tcW w:w="3652" w:type="dxa"/>
            <w:gridSpan w:val="3"/>
            <w:tcBorders>
              <w:top w:val="nil"/>
              <w:left w:val="nil"/>
              <w:bottom w:val="nil"/>
              <w:right w:val="nil"/>
            </w:tcBorders>
            <w:shd w:val="clear" w:color="auto" w:fill="auto"/>
            <w:noWrap/>
            <w:vAlign w:val="bottom"/>
            <w:hideMark/>
          </w:tcPr>
          <w:p w:rsidR="0028396B" w:rsidRPr="00C245C6" w:rsidRDefault="0028396B" w:rsidP="00A364AF">
            <w:pPr>
              <w:rPr>
                <w:rFonts w:eastAsia="Times New Roman"/>
                <w:b/>
                <w:bCs/>
                <w:color w:val="000000"/>
                <w:sz w:val="22"/>
                <w:lang w:eastAsia="en-GB"/>
              </w:rPr>
            </w:pPr>
            <w:r>
              <w:rPr>
                <w:rFonts w:eastAsia="Times New Roman"/>
                <w:b/>
                <w:bCs/>
                <w:color w:val="000000"/>
                <w:sz w:val="22"/>
                <w:lang w:eastAsia="en-GB"/>
              </w:rPr>
              <w:t>Leavers</w:t>
            </w:r>
            <w:r w:rsidRPr="003E08A6">
              <w:rPr>
                <w:rFonts w:eastAsia="Times New Roman"/>
                <w:b/>
                <w:bCs/>
                <w:color w:val="000000"/>
                <w:sz w:val="22"/>
                <w:lang w:eastAsia="en-GB"/>
              </w:rPr>
              <w:t xml:space="preserve"> during 2017/18</w:t>
            </w:r>
          </w:p>
        </w:tc>
      </w:tr>
      <w:tr w:rsidR="0028396B" w:rsidRPr="00C245C6" w:rsidTr="00A364AF">
        <w:trPr>
          <w:trHeight w:val="315"/>
        </w:trPr>
        <w:tc>
          <w:tcPr>
            <w:tcW w:w="1366"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16"/>
                <w:szCs w:val="22"/>
                <w:lang w:eastAsia="en-GB"/>
              </w:rPr>
            </w:pPr>
          </w:p>
        </w:tc>
        <w:tc>
          <w:tcPr>
            <w:tcW w:w="1366" w:type="dxa"/>
            <w:tcBorders>
              <w:top w:val="nil"/>
              <w:left w:val="nil"/>
              <w:bottom w:val="nil"/>
              <w:right w:val="nil"/>
            </w:tcBorders>
            <w:shd w:val="clear" w:color="auto" w:fill="auto"/>
            <w:noWrap/>
            <w:vAlign w:val="bottom"/>
            <w:hideMark/>
          </w:tcPr>
          <w:p w:rsidR="0028396B" w:rsidRPr="00C245C6" w:rsidRDefault="0028396B" w:rsidP="00A364AF">
            <w:pPr>
              <w:rPr>
                <w:rFonts w:eastAsia="Times New Roman"/>
                <w:color w:val="000000"/>
                <w:sz w:val="16"/>
                <w:szCs w:val="22"/>
                <w:lang w:eastAsia="en-GB"/>
              </w:rPr>
            </w:pPr>
          </w:p>
        </w:tc>
        <w:tc>
          <w:tcPr>
            <w:tcW w:w="1314"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c>
          <w:tcPr>
            <w:tcW w:w="972" w:type="dxa"/>
            <w:tcBorders>
              <w:top w:val="nil"/>
              <w:left w:val="nil"/>
              <w:bottom w:val="nil"/>
              <w:right w:val="nil"/>
            </w:tcBorders>
            <w:shd w:val="clear" w:color="auto" w:fill="auto"/>
            <w:noWrap/>
            <w:vAlign w:val="bottom"/>
            <w:hideMark/>
          </w:tcPr>
          <w:p w:rsidR="0028396B" w:rsidRPr="00C245C6" w:rsidRDefault="0028396B" w:rsidP="00A364AF">
            <w:pPr>
              <w:jc w:val="center"/>
              <w:rPr>
                <w:rFonts w:eastAsia="Times New Roman"/>
                <w:color w:val="000000"/>
                <w:sz w:val="16"/>
                <w:szCs w:val="22"/>
                <w:lang w:eastAsia="en-GB"/>
              </w:rPr>
            </w:pPr>
          </w:p>
        </w:tc>
      </w:tr>
      <w:tr w:rsidR="0028396B" w:rsidRPr="00C245C6" w:rsidTr="00A364AF">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Pr="00C245C6" w:rsidRDefault="000036A1" w:rsidP="00A364AF">
            <w:pPr>
              <w:rPr>
                <w:rFonts w:eastAsia="Times New Roman"/>
                <w:b/>
                <w:bCs/>
                <w:color w:val="000000"/>
                <w:sz w:val="20"/>
                <w:szCs w:val="20"/>
                <w:lang w:eastAsia="en-GB"/>
              </w:rPr>
            </w:pPr>
            <w:r>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Pr="00C245C6" w:rsidRDefault="000036A1" w:rsidP="00A364AF">
            <w:pPr>
              <w:rPr>
                <w:rFonts w:eastAsia="Times New Roman"/>
                <w:b/>
                <w:bCs/>
                <w:color w:val="000000"/>
                <w:sz w:val="20"/>
                <w:szCs w:val="20"/>
                <w:lang w:eastAsia="en-GB"/>
              </w:rPr>
            </w:pPr>
            <w:r>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Pr="00C245C6" w:rsidRDefault="000036A1" w:rsidP="00A364AF">
            <w:pPr>
              <w:rPr>
                <w:rFonts w:eastAsia="Times New Roman"/>
                <w:b/>
                <w:bCs/>
                <w:color w:val="000000"/>
                <w:sz w:val="20"/>
                <w:szCs w:val="20"/>
                <w:lang w:eastAsia="en-GB"/>
              </w:rPr>
            </w:pPr>
            <w:r>
              <w:rPr>
                <w:rFonts w:eastAsia="Times New Roman"/>
                <w:b/>
                <w:bCs/>
                <w:color w:val="000000"/>
                <w:sz w:val="20"/>
                <w:szCs w:val="20"/>
                <w:lang w:eastAsia="en-GB"/>
              </w:rPr>
              <w:t>Sex</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Pr>
                <w:rFonts w:eastAsia="Times New Roman"/>
                <w:b/>
                <w:bCs/>
                <w:color w:val="000000"/>
                <w:sz w:val="20"/>
                <w:szCs w:val="20"/>
                <w:lang w:eastAsia="en-GB"/>
              </w:rPr>
              <w:t>Number</w:t>
            </w:r>
          </w:p>
        </w:tc>
      </w:tr>
      <w:tr w:rsidR="00F31F7B" w:rsidRPr="00C245C6"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Pr="00C245C6" w:rsidRDefault="00F31F7B" w:rsidP="00A364AF">
            <w:pPr>
              <w:rPr>
                <w:rFonts w:eastAsia="Times New Roman"/>
                <w:color w:val="000000"/>
                <w:sz w:val="20"/>
                <w:szCs w:val="20"/>
                <w:lang w:eastAsia="en-GB"/>
              </w:rPr>
            </w:pPr>
            <w:r w:rsidRPr="00C245C6">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41.71</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83</w:t>
            </w:r>
          </w:p>
        </w:tc>
        <w:tc>
          <w:tcPr>
            <w:tcW w:w="400" w:type="dxa"/>
            <w:tcBorders>
              <w:top w:val="nil"/>
              <w:left w:val="nil"/>
              <w:bottom w:val="nil"/>
              <w:right w:val="nil"/>
            </w:tcBorders>
            <w:shd w:val="clear" w:color="auto" w:fill="auto"/>
            <w:noWrap/>
            <w:vAlign w:val="bottom"/>
            <w:hideMark/>
          </w:tcPr>
          <w:p w:rsidR="00F31F7B" w:rsidRPr="00C245C6" w:rsidRDefault="00F31F7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Pr="00C245C6" w:rsidRDefault="00F31F7B" w:rsidP="00A364AF">
            <w:pPr>
              <w:rPr>
                <w:rFonts w:eastAsia="Times New Roman"/>
                <w:color w:val="000000"/>
                <w:sz w:val="20"/>
                <w:szCs w:val="20"/>
                <w:lang w:eastAsia="en-GB"/>
              </w:rPr>
            </w:pPr>
            <w:r w:rsidRPr="00C245C6">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30.97</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35</w:t>
            </w:r>
          </w:p>
        </w:tc>
        <w:tc>
          <w:tcPr>
            <w:tcW w:w="400" w:type="dxa"/>
            <w:tcBorders>
              <w:top w:val="nil"/>
              <w:left w:val="nil"/>
              <w:bottom w:val="nil"/>
              <w:right w:val="nil"/>
            </w:tcBorders>
            <w:shd w:val="clear" w:color="auto" w:fill="auto"/>
            <w:noWrap/>
            <w:vAlign w:val="bottom"/>
            <w:hideMark/>
          </w:tcPr>
          <w:p w:rsidR="00F31F7B" w:rsidRPr="00C245C6" w:rsidRDefault="00F31F7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Pr="00C245C6" w:rsidRDefault="00F31F7B" w:rsidP="00A364AF">
            <w:pPr>
              <w:rPr>
                <w:rFonts w:eastAsia="Times New Roman"/>
                <w:color w:val="000000"/>
                <w:sz w:val="20"/>
                <w:szCs w:val="20"/>
                <w:lang w:eastAsia="en-GB"/>
              </w:rPr>
            </w:pPr>
            <w:r w:rsidRPr="00C245C6">
              <w:rPr>
                <w:rFonts w:eastAsia="Times New Roman"/>
                <w:color w:val="000000"/>
                <w:sz w:val="20"/>
                <w:szCs w:val="20"/>
                <w:lang w:eastAsia="en-GB"/>
              </w:rPr>
              <w:t>Female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37.09</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56</w:t>
            </w:r>
          </w:p>
        </w:tc>
      </w:tr>
      <w:tr w:rsidR="00F31F7B" w:rsidRPr="00C245C6"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Pr="00C245C6" w:rsidRDefault="00F31F7B" w:rsidP="00A364AF">
            <w:pPr>
              <w:rPr>
                <w:rFonts w:eastAsia="Times New Roman"/>
                <w:color w:val="000000"/>
                <w:sz w:val="20"/>
                <w:szCs w:val="20"/>
                <w:lang w:eastAsia="en-GB"/>
              </w:rPr>
            </w:pPr>
            <w:r w:rsidRPr="00C245C6">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58.29</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116</w:t>
            </w:r>
          </w:p>
        </w:tc>
        <w:tc>
          <w:tcPr>
            <w:tcW w:w="400" w:type="dxa"/>
            <w:tcBorders>
              <w:top w:val="nil"/>
              <w:left w:val="nil"/>
              <w:bottom w:val="nil"/>
              <w:right w:val="nil"/>
            </w:tcBorders>
            <w:shd w:val="clear" w:color="auto" w:fill="auto"/>
            <w:noWrap/>
            <w:vAlign w:val="bottom"/>
            <w:hideMark/>
          </w:tcPr>
          <w:p w:rsidR="00F31F7B" w:rsidRPr="00C245C6" w:rsidRDefault="00F31F7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Pr="00C245C6" w:rsidRDefault="00F31F7B" w:rsidP="00A364AF">
            <w:pPr>
              <w:rPr>
                <w:rFonts w:eastAsia="Times New Roman"/>
                <w:color w:val="000000"/>
                <w:sz w:val="20"/>
                <w:szCs w:val="20"/>
                <w:lang w:eastAsia="en-GB"/>
              </w:rPr>
            </w:pPr>
            <w:r w:rsidRPr="00C245C6">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69.03</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78</w:t>
            </w:r>
          </w:p>
        </w:tc>
        <w:tc>
          <w:tcPr>
            <w:tcW w:w="400" w:type="dxa"/>
            <w:tcBorders>
              <w:top w:val="nil"/>
              <w:left w:val="nil"/>
              <w:bottom w:val="nil"/>
              <w:right w:val="nil"/>
            </w:tcBorders>
            <w:shd w:val="clear" w:color="auto" w:fill="auto"/>
            <w:noWrap/>
            <w:vAlign w:val="bottom"/>
            <w:hideMark/>
          </w:tcPr>
          <w:p w:rsidR="00F31F7B" w:rsidRPr="00C245C6" w:rsidRDefault="00F31F7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Pr="00C245C6" w:rsidRDefault="00F31F7B" w:rsidP="00A364AF">
            <w:pPr>
              <w:rPr>
                <w:rFonts w:eastAsia="Times New Roman"/>
                <w:color w:val="000000"/>
                <w:sz w:val="20"/>
                <w:szCs w:val="20"/>
                <w:lang w:eastAsia="en-GB"/>
              </w:rPr>
            </w:pPr>
            <w:r w:rsidRPr="00C245C6">
              <w:rPr>
                <w:rFonts w:eastAsia="Times New Roman"/>
                <w:color w:val="000000"/>
                <w:sz w:val="20"/>
                <w:szCs w:val="20"/>
                <w:lang w:eastAsia="en-GB"/>
              </w:rPr>
              <w:t>Male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62.91</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95</w:t>
            </w:r>
          </w:p>
        </w:tc>
      </w:tr>
      <w:tr w:rsidR="001B3EDA" w:rsidRPr="00C245C6" w:rsidTr="002839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1B3EDA" w:rsidRPr="00C245C6" w:rsidRDefault="001B3EDA"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1B3EDA" w:rsidRPr="00C245C6" w:rsidRDefault="001B3EDA" w:rsidP="00A364AF">
            <w:pPr>
              <w:jc w:val="center"/>
              <w:rPr>
                <w:rFonts w:eastAsia="Times New Roman"/>
                <w:b/>
                <w:bCs/>
                <w:color w:val="000000"/>
                <w:sz w:val="20"/>
                <w:szCs w:val="20"/>
                <w:lang w:eastAsia="en-GB"/>
              </w:rPr>
            </w:pPr>
            <w:r>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1B3EDA" w:rsidRPr="00C245C6" w:rsidRDefault="00F31F7B" w:rsidP="00A364AF">
            <w:pPr>
              <w:jc w:val="center"/>
              <w:rPr>
                <w:rFonts w:eastAsia="Times New Roman"/>
                <w:b/>
                <w:bCs/>
                <w:color w:val="000000"/>
                <w:sz w:val="20"/>
                <w:szCs w:val="20"/>
                <w:lang w:eastAsia="en-GB"/>
              </w:rPr>
            </w:pPr>
            <w:r>
              <w:rPr>
                <w:rFonts w:eastAsia="Times New Roman"/>
                <w:b/>
                <w:bCs/>
                <w:color w:val="000000"/>
                <w:sz w:val="20"/>
                <w:szCs w:val="20"/>
                <w:lang w:eastAsia="en-GB"/>
              </w:rPr>
              <w:t>199</w:t>
            </w:r>
          </w:p>
        </w:tc>
        <w:tc>
          <w:tcPr>
            <w:tcW w:w="400" w:type="dxa"/>
            <w:tcBorders>
              <w:top w:val="nil"/>
              <w:left w:val="nil"/>
              <w:bottom w:val="nil"/>
              <w:right w:val="nil"/>
            </w:tcBorders>
            <w:shd w:val="clear" w:color="auto" w:fill="auto"/>
            <w:noWrap/>
            <w:vAlign w:val="bottom"/>
            <w:hideMark/>
          </w:tcPr>
          <w:p w:rsidR="001B3EDA" w:rsidRPr="00C245C6" w:rsidRDefault="001B3ED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1B3EDA" w:rsidRPr="00C245C6" w:rsidRDefault="001B3EDA"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1B3EDA" w:rsidRPr="00C245C6" w:rsidRDefault="001B3EDA" w:rsidP="00A364AF">
            <w:pPr>
              <w:jc w:val="center"/>
              <w:rPr>
                <w:rFonts w:eastAsia="Times New Roman"/>
                <w:b/>
                <w:bCs/>
                <w:color w:val="000000"/>
                <w:sz w:val="20"/>
                <w:szCs w:val="20"/>
                <w:lang w:eastAsia="en-GB"/>
              </w:rPr>
            </w:pPr>
            <w:r>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1B3EDA" w:rsidRPr="00C245C6" w:rsidRDefault="00F31F7B" w:rsidP="00A364AF">
            <w:pPr>
              <w:jc w:val="center"/>
              <w:rPr>
                <w:rFonts w:eastAsia="Times New Roman"/>
                <w:b/>
                <w:bCs/>
                <w:color w:val="000000"/>
                <w:sz w:val="20"/>
                <w:szCs w:val="20"/>
                <w:lang w:eastAsia="en-GB"/>
              </w:rPr>
            </w:pPr>
            <w:r>
              <w:rPr>
                <w:rFonts w:eastAsia="Times New Roman"/>
                <w:b/>
                <w:bCs/>
                <w:color w:val="000000"/>
                <w:sz w:val="20"/>
                <w:szCs w:val="20"/>
                <w:lang w:eastAsia="en-GB"/>
              </w:rPr>
              <w:t>113</w:t>
            </w:r>
          </w:p>
        </w:tc>
        <w:tc>
          <w:tcPr>
            <w:tcW w:w="400" w:type="dxa"/>
            <w:tcBorders>
              <w:top w:val="nil"/>
              <w:left w:val="nil"/>
              <w:bottom w:val="nil"/>
              <w:right w:val="nil"/>
            </w:tcBorders>
            <w:shd w:val="clear" w:color="auto" w:fill="auto"/>
            <w:noWrap/>
            <w:vAlign w:val="bottom"/>
            <w:hideMark/>
          </w:tcPr>
          <w:p w:rsidR="001B3EDA" w:rsidRPr="00C245C6" w:rsidRDefault="001B3EDA"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1B3EDA" w:rsidRPr="00C245C6" w:rsidRDefault="001B3EDA"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1B3EDA" w:rsidRPr="00C245C6" w:rsidRDefault="001B3EDA" w:rsidP="00A364AF">
            <w:pPr>
              <w:jc w:val="center"/>
              <w:rPr>
                <w:rFonts w:eastAsia="Times New Roman"/>
                <w:b/>
                <w:bCs/>
                <w:color w:val="000000"/>
                <w:sz w:val="20"/>
                <w:szCs w:val="20"/>
                <w:lang w:eastAsia="en-GB"/>
              </w:rPr>
            </w:pPr>
            <w:r>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1B3EDA" w:rsidRPr="00C245C6" w:rsidRDefault="00F31F7B" w:rsidP="00F31F7B">
            <w:pPr>
              <w:jc w:val="center"/>
              <w:rPr>
                <w:rFonts w:eastAsia="Times New Roman"/>
                <w:b/>
                <w:bCs/>
                <w:color w:val="000000"/>
                <w:sz w:val="20"/>
                <w:szCs w:val="20"/>
                <w:lang w:eastAsia="en-GB"/>
              </w:rPr>
            </w:pPr>
            <w:r>
              <w:rPr>
                <w:b/>
                <w:bCs/>
                <w:color w:val="000000"/>
                <w:sz w:val="20"/>
                <w:szCs w:val="20"/>
              </w:rPr>
              <w:t>151</w:t>
            </w:r>
          </w:p>
        </w:tc>
      </w:tr>
    </w:tbl>
    <w:p w:rsidR="0028396B" w:rsidRDefault="0028396B" w:rsidP="0028396B">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8396B" w:rsidRPr="00C245C6" w:rsidTr="00A364AF">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Default="0028396B" w:rsidP="00A364AF">
            <w:pPr>
              <w:rPr>
                <w:b/>
                <w:bCs/>
                <w:color w:val="000000"/>
                <w:sz w:val="20"/>
                <w:szCs w:val="20"/>
              </w:rPr>
            </w:pPr>
            <w:r>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Default="0028396B" w:rsidP="00A364AF">
            <w:pPr>
              <w:rPr>
                <w:b/>
                <w:bCs/>
                <w:color w:val="000000"/>
                <w:sz w:val="20"/>
                <w:szCs w:val="20"/>
              </w:rPr>
            </w:pPr>
            <w:r>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396B" w:rsidRDefault="0028396B" w:rsidP="00A364AF">
            <w:pPr>
              <w:rPr>
                <w:b/>
                <w:bCs/>
                <w:color w:val="000000"/>
                <w:sz w:val="20"/>
                <w:szCs w:val="20"/>
              </w:rPr>
            </w:pPr>
            <w:r>
              <w:rPr>
                <w:b/>
                <w:bCs/>
                <w:color w:val="000000"/>
                <w:sz w:val="20"/>
                <w:szCs w:val="20"/>
              </w:rPr>
              <w:t>Ethnicity</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Pr>
                <w:rFonts w:eastAsia="Times New Roman"/>
                <w:b/>
                <w:bCs/>
                <w:color w:val="000000"/>
                <w:sz w:val="20"/>
                <w:szCs w:val="20"/>
                <w:lang w:eastAsia="en-GB"/>
              </w:rPr>
              <w:t>Number</w:t>
            </w:r>
          </w:p>
        </w:tc>
      </w:tr>
      <w:tr w:rsidR="00F31F7B"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Default="00F31F7B" w:rsidP="00A364AF">
            <w:pPr>
              <w:rPr>
                <w:color w:val="000000"/>
                <w:sz w:val="20"/>
                <w:szCs w:val="20"/>
              </w:rPr>
            </w:pPr>
            <w:r>
              <w:rPr>
                <w:color w:val="000000"/>
                <w:sz w:val="20"/>
                <w:szCs w:val="20"/>
              </w:rPr>
              <w:t>B</w:t>
            </w:r>
            <w:r w:rsidR="00EF6EBB">
              <w:rPr>
                <w:color w:val="000000"/>
                <w:sz w:val="20"/>
                <w:szCs w:val="20"/>
              </w:rPr>
              <w:t>A</w:t>
            </w:r>
            <w:r>
              <w:rPr>
                <w:color w:val="000000"/>
                <w:sz w:val="20"/>
                <w:szCs w:val="20"/>
              </w:rPr>
              <w:t>ME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9.05</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18</w:t>
            </w:r>
          </w:p>
        </w:tc>
        <w:tc>
          <w:tcPr>
            <w:tcW w:w="400" w:type="dxa"/>
            <w:tcBorders>
              <w:top w:val="nil"/>
              <w:left w:val="nil"/>
              <w:bottom w:val="nil"/>
              <w:right w:val="nil"/>
            </w:tcBorders>
            <w:shd w:val="clear" w:color="auto" w:fill="auto"/>
            <w:noWrap/>
            <w:vAlign w:val="bottom"/>
            <w:hideMark/>
          </w:tcPr>
          <w:p w:rsidR="00F31F7B" w:rsidRPr="00C245C6" w:rsidRDefault="00F31F7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Default="00F31F7B" w:rsidP="00A364AF">
            <w:pPr>
              <w:rPr>
                <w:color w:val="000000"/>
                <w:sz w:val="20"/>
                <w:szCs w:val="20"/>
              </w:rPr>
            </w:pPr>
            <w:r>
              <w:rPr>
                <w:color w:val="000000"/>
                <w:sz w:val="20"/>
                <w:szCs w:val="20"/>
              </w:rPr>
              <w:t>B</w:t>
            </w:r>
            <w:r w:rsidR="00EF6EBB">
              <w:rPr>
                <w:color w:val="000000"/>
                <w:sz w:val="20"/>
                <w:szCs w:val="20"/>
              </w:rPr>
              <w:t>A</w:t>
            </w:r>
            <w:r>
              <w:rPr>
                <w:color w:val="000000"/>
                <w:sz w:val="20"/>
                <w:szCs w:val="20"/>
              </w:rPr>
              <w:t>ME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6.19</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7</w:t>
            </w:r>
          </w:p>
        </w:tc>
        <w:tc>
          <w:tcPr>
            <w:tcW w:w="400" w:type="dxa"/>
            <w:tcBorders>
              <w:top w:val="nil"/>
              <w:left w:val="nil"/>
              <w:bottom w:val="nil"/>
              <w:right w:val="nil"/>
            </w:tcBorders>
            <w:shd w:val="clear" w:color="auto" w:fill="auto"/>
            <w:noWrap/>
            <w:vAlign w:val="bottom"/>
            <w:hideMark/>
          </w:tcPr>
          <w:p w:rsidR="00F31F7B" w:rsidRPr="00C245C6" w:rsidRDefault="00F31F7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Default="00F31F7B" w:rsidP="00A364AF">
            <w:pPr>
              <w:rPr>
                <w:color w:val="000000"/>
                <w:sz w:val="20"/>
                <w:szCs w:val="20"/>
              </w:rPr>
            </w:pPr>
            <w:r>
              <w:rPr>
                <w:color w:val="000000"/>
                <w:sz w:val="20"/>
                <w:szCs w:val="20"/>
              </w:rPr>
              <w:t>B</w:t>
            </w:r>
            <w:r w:rsidR="00EF6EBB">
              <w:rPr>
                <w:color w:val="000000"/>
                <w:sz w:val="20"/>
                <w:szCs w:val="20"/>
              </w:rPr>
              <w:t>A</w:t>
            </w:r>
            <w:r>
              <w:rPr>
                <w:color w:val="000000"/>
                <w:sz w:val="20"/>
                <w:szCs w:val="20"/>
              </w:rPr>
              <w:t>ME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7.95</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12</w:t>
            </w:r>
          </w:p>
        </w:tc>
      </w:tr>
      <w:tr w:rsidR="00F31F7B"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Default="00F31F7B" w:rsidP="00A364AF">
            <w:pPr>
              <w:rPr>
                <w:color w:val="000000"/>
                <w:sz w:val="20"/>
                <w:szCs w:val="20"/>
              </w:rPr>
            </w:pPr>
            <w:r>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77.39</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154</w:t>
            </w:r>
          </w:p>
        </w:tc>
        <w:tc>
          <w:tcPr>
            <w:tcW w:w="400" w:type="dxa"/>
            <w:tcBorders>
              <w:top w:val="nil"/>
              <w:left w:val="nil"/>
              <w:bottom w:val="nil"/>
              <w:right w:val="nil"/>
            </w:tcBorders>
            <w:shd w:val="clear" w:color="auto" w:fill="auto"/>
            <w:noWrap/>
            <w:vAlign w:val="bottom"/>
            <w:hideMark/>
          </w:tcPr>
          <w:p w:rsidR="00F31F7B" w:rsidRPr="00C245C6" w:rsidRDefault="00F31F7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Default="00F31F7B" w:rsidP="00A364AF">
            <w:pPr>
              <w:rPr>
                <w:color w:val="000000"/>
                <w:sz w:val="20"/>
                <w:szCs w:val="20"/>
              </w:rPr>
            </w:pPr>
            <w:r>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85.84</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97</w:t>
            </w:r>
          </w:p>
        </w:tc>
        <w:tc>
          <w:tcPr>
            <w:tcW w:w="400" w:type="dxa"/>
            <w:tcBorders>
              <w:top w:val="nil"/>
              <w:left w:val="nil"/>
              <w:bottom w:val="nil"/>
              <w:right w:val="nil"/>
            </w:tcBorders>
            <w:shd w:val="clear" w:color="auto" w:fill="auto"/>
            <w:noWrap/>
            <w:vAlign w:val="bottom"/>
            <w:hideMark/>
          </w:tcPr>
          <w:p w:rsidR="00F31F7B" w:rsidRPr="00C245C6" w:rsidRDefault="00F31F7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rsidR="00F31F7B" w:rsidRDefault="00F31F7B" w:rsidP="00A364AF">
            <w:pPr>
              <w:rPr>
                <w:color w:val="000000"/>
                <w:sz w:val="20"/>
                <w:szCs w:val="20"/>
              </w:rPr>
            </w:pPr>
            <w:r>
              <w:rPr>
                <w:color w:val="000000"/>
                <w:sz w:val="20"/>
                <w:szCs w:val="20"/>
              </w:rPr>
              <w:t>White</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77.48</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117</w:t>
            </w:r>
          </w:p>
        </w:tc>
      </w:tr>
      <w:tr w:rsidR="00F31F7B"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F31F7B" w:rsidRDefault="00F31F7B" w:rsidP="00A364AF">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13.56</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27</w:t>
            </w:r>
          </w:p>
        </w:tc>
        <w:tc>
          <w:tcPr>
            <w:tcW w:w="400" w:type="dxa"/>
            <w:tcBorders>
              <w:top w:val="nil"/>
              <w:left w:val="nil"/>
              <w:bottom w:val="nil"/>
              <w:right w:val="nil"/>
            </w:tcBorders>
            <w:shd w:val="clear" w:color="auto" w:fill="auto"/>
            <w:noWrap/>
            <w:vAlign w:val="bottom"/>
          </w:tcPr>
          <w:p w:rsidR="00F31F7B" w:rsidRPr="00C245C6" w:rsidRDefault="00F31F7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1F7B" w:rsidRDefault="00F31F7B" w:rsidP="00A364AF">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7.97</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9</w:t>
            </w:r>
          </w:p>
        </w:tc>
        <w:tc>
          <w:tcPr>
            <w:tcW w:w="400" w:type="dxa"/>
            <w:tcBorders>
              <w:top w:val="nil"/>
              <w:left w:val="nil"/>
              <w:bottom w:val="nil"/>
              <w:right w:val="nil"/>
            </w:tcBorders>
            <w:shd w:val="clear" w:color="auto" w:fill="auto"/>
            <w:noWrap/>
            <w:vAlign w:val="bottom"/>
          </w:tcPr>
          <w:p w:rsidR="00F31F7B" w:rsidRPr="00C245C6" w:rsidRDefault="00F31F7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F31F7B" w:rsidRPr="002E1471" w:rsidRDefault="00F31F7B" w:rsidP="00A364AF">
            <w:pPr>
              <w:rPr>
                <w:color w:val="000000"/>
                <w:sz w:val="20"/>
                <w:szCs w:val="20"/>
              </w:rPr>
            </w:pPr>
            <w:r w:rsidRPr="002E1471">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F31F7B" w:rsidRPr="002E1471" w:rsidRDefault="00F31F7B">
            <w:pPr>
              <w:jc w:val="center"/>
              <w:rPr>
                <w:color w:val="000000"/>
                <w:sz w:val="20"/>
                <w:szCs w:val="20"/>
              </w:rPr>
            </w:pPr>
            <w:r w:rsidRPr="002E1471">
              <w:rPr>
                <w:color w:val="000000"/>
                <w:sz w:val="20"/>
                <w:szCs w:val="20"/>
              </w:rPr>
              <w:t>14.57</w:t>
            </w:r>
          </w:p>
        </w:tc>
        <w:tc>
          <w:tcPr>
            <w:tcW w:w="972" w:type="dxa"/>
            <w:tcBorders>
              <w:top w:val="nil"/>
              <w:left w:val="nil"/>
              <w:bottom w:val="single" w:sz="8" w:space="0" w:color="auto"/>
              <w:right w:val="single" w:sz="8" w:space="0" w:color="auto"/>
            </w:tcBorders>
            <w:shd w:val="clear" w:color="auto" w:fill="auto"/>
            <w:noWrap/>
            <w:vAlign w:val="center"/>
          </w:tcPr>
          <w:p w:rsidR="00F31F7B" w:rsidRDefault="00F31F7B">
            <w:pPr>
              <w:jc w:val="center"/>
              <w:rPr>
                <w:color w:val="000000"/>
                <w:sz w:val="20"/>
                <w:szCs w:val="20"/>
              </w:rPr>
            </w:pPr>
            <w:r>
              <w:rPr>
                <w:color w:val="000000"/>
                <w:sz w:val="20"/>
                <w:szCs w:val="20"/>
              </w:rPr>
              <w:t>22</w:t>
            </w:r>
          </w:p>
        </w:tc>
      </w:tr>
      <w:tr w:rsidR="00670E41" w:rsidRPr="00C245C6" w:rsidTr="002839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670E41" w:rsidRPr="00C245C6" w:rsidRDefault="00670E41"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670E41" w:rsidRPr="00C245C6" w:rsidRDefault="00670E41" w:rsidP="00A364AF">
            <w:pPr>
              <w:jc w:val="center"/>
              <w:rPr>
                <w:rFonts w:eastAsia="Times New Roman"/>
                <w:b/>
                <w:bCs/>
                <w:color w:val="000000"/>
                <w:sz w:val="20"/>
                <w:szCs w:val="20"/>
                <w:lang w:eastAsia="en-GB"/>
              </w:rPr>
            </w:pPr>
            <w:r>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670E41" w:rsidRPr="00C245C6" w:rsidRDefault="00F31F7B" w:rsidP="00A364AF">
            <w:pPr>
              <w:jc w:val="center"/>
              <w:rPr>
                <w:rFonts w:eastAsia="Times New Roman"/>
                <w:b/>
                <w:bCs/>
                <w:color w:val="000000"/>
                <w:sz w:val="20"/>
                <w:szCs w:val="20"/>
                <w:lang w:eastAsia="en-GB"/>
              </w:rPr>
            </w:pPr>
            <w:r>
              <w:rPr>
                <w:rFonts w:eastAsia="Times New Roman"/>
                <w:b/>
                <w:bCs/>
                <w:color w:val="000000"/>
                <w:sz w:val="20"/>
                <w:szCs w:val="20"/>
                <w:lang w:eastAsia="en-GB"/>
              </w:rPr>
              <w:t>199</w:t>
            </w:r>
          </w:p>
        </w:tc>
        <w:tc>
          <w:tcPr>
            <w:tcW w:w="400" w:type="dxa"/>
            <w:tcBorders>
              <w:top w:val="nil"/>
              <w:left w:val="nil"/>
              <w:bottom w:val="nil"/>
              <w:right w:val="nil"/>
            </w:tcBorders>
            <w:shd w:val="clear" w:color="auto" w:fill="auto"/>
            <w:noWrap/>
            <w:vAlign w:val="bottom"/>
            <w:hideMark/>
          </w:tcPr>
          <w:p w:rsidR="00670E41" w:rsidRPr="00C245C6" w:rsidRDefault="00670E41"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670E41" w:rsidRPr="00C245C6" w:rsidRDefault="00670E41"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670E41" w:rsidRPr="00C245C6" w:rsidRDefault="00670E41" w:rsidP="00A364AF">
            <w:pPr>
              <w:jc w:val="center"/>
              <w:rPr>
                <w:rFonts w:eastAsia="Times New Roman"/>
                <w:b/>
                <w:bCs/>
                <w:color w:val="000000"/>
                <w:sz w:val="20"/>
                <w:szCs w:val="20"/>
                <w:lang w:eastAsia="en-GB"/>
              </w:rPr>
            </w:pPr>
            <w:r>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670E41" w:rsidRPr="00C245C6" w:rsidRDefault="00F31F7B" w:rsidP="00A364AF">
            <w:pPr>
              <w:jc w:val="center"/>
              <w:rPr>
                <w:rFonts w:eastAsia="Times New Roman"/>
                <w:b/>
                <w:bCs/>
                <w:color w:val="000000"/>
                <w:sz w:val="20"/>
                <w:szCs w:val="20"/>
                <w:lang w:eastAsia="en-GB"/>
              </w:rPr>
            </w:pPr>
            <w:r>
              <w:rPr>
                <w:rFonts w:eastAsia="Times New Roman"/>
                <w:b/>
                <w:bCs/>
                <w:color w:val="000000"/>
                <w:sz w:val="20"/>
                <w:szCs w:val="20"/>
                <w:lang w:eastAsia="en-GB"/>
              </w:rPr>
              <w:t>113</w:t>
            </w:r>
          </w:p>
        </w:tc>
        <w:tc>
          <w:tcPr>
            <w:tcW w:w="400" w:type="dxa"/>
            <w:tcBorders>
              <w:top w:val="nil"/>
              <w:left w:val="nil"/>
              <w:bottom w:val="nil"/>
              <w:right w:val="nil"/>
            </w:tcBorders>
            <w:shd w:val="clear" w:color="auto" w:fill="auto"/>
            <w:noWrap/>
            <w:vAlign w:val="bottom"/>
            <w:hideMark/>
          </w:tcPr>
          <w:p w:rsidR="00670E41" w:rsidRPr="00C245C6" w:rsidRDefault="00670E41"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670E41" w:rsidRPr="00C245C6" w:rsidRDefault="00670E41"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670E41" w:rsidRPr="00C245C6" w:rsidRDefault="00670E41" w:rsidP="00A364AF">
            <w:pPr>
              <w:jc w:val="center"/>
              <w:rPr>
                <w:rFonts w:eastAsia="Times New Roman"/>
                <w:b/>
                <w:bCs/>
                <w:color w:val="000000"/>
                <w:sz w:val="20"/>
                <w:szCs w:val="20"/>
                <w:lang w:eastAsia="en-GB"/>
              </w:rPr>
            </w:pPr>
            <w:r>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670E41" w:rsidRPr="00C245C6" w:rsidRDefault="00F31F7B" w:rsidP="00F31F7B">
            <w:pPr>
              <w:jc w:val="center"/>
              <w:rPr>
                <w:rFonts w:eastAsia="Times New Roman"/>
                <w:b/>
                <w:bCs/>
                <w:color w:val="000000"/>
                <w:sz w:val="20"/>
                <w:szCs w:val="20"/>
                <w:lang w:eastAsia="en-GB"/>
              </w:rPr>
            </w:pPr>
            <w:r>
              <w:rPr>
                <w:b/>
                <w:bCs/>
                <w:color w:val="000000"/>
                <w:sz w:val="20"/>
                <w:szCs w:val="20"/>
              </w:rPr>
              <w:t>151</w:t>
            </w:r>
          </w:p>
        </w:tc>
      </w:tr>
    </w:tbl>
    <w:p w:rsidR="0028396B" w:rsidRDefault="0028396B" w:rsidP="0028396B">
      <w:pPr>
        <w:rPr>
          <w:szCs w:val="22"/>
        </w:rPr>
      </w:pPr>
    </w:p>
    <w:tbl>
      <w:tblPr>
        <w:tblW w:w="11756" w:type="dxa"/>
        <w:tblInd w:w="93" w:type="dxa"/>
        <w:tblLook w:val="04A0" w:firstRow="1" w:lastRow="0" w:firstColumn="1" w:lastColumn="0" w:noHBand="0" w:noVBand="1"/>
      </w:tblPr>
      <w:tblGrid>
        <w:gridCol w:w="1366"/>
        <w:gridCol w:w="1314"/>
        <w:gridCol w:w="972"/>
        <w:gridCol w:w="400"/>
        <w:gridCol w:w="1366"/>
        <w:gridCol w:w="1314"/>
        <w:gridCol w:w="972"/>
        <w:gridCol w:w="400"/>
        <w:gridCol w:w="1366"/>
        <w:gridCol w:w="1314"/>
        <w:gridCol w:w="972"/>
      </w:tblGrid>
      <w:tr w:rsidR="0028396B" w:rsidRPr="00C245C6" w:rsidTr="00A364AF">
        <w:trPr>
          <w:trHeight w:val="315"/>
        </w:trPr>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8396B" w:rsidRDefault="0028396B" w:rsidP="00A364AF">
            <w:pPr>
              <w:rPr>
                <w:b/>
                <w:bCs/>
                <w:color w:val="000000"/>
                <w:sz w:val="20"/>
                <w:szCs w:val="20"/>
              </w:rPr>
            </w:pPr>
            <w:r>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8396B" w:rsidRDefault="0028396B" w:rsidP="00A364AF">
            <w:pPr>
              <w:rPr>
                <w:b/>
                <w:bCs/>
                <w:color w:val="000000"/>
                <w:sz w:val="20"/>
                <w:szCs w:val="20"/>
              </w:rPr>
            </w:pPr>
            <w:r>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Pr>
                <w:rFonts w:eastAsia="Times New Roman"/>
                <w:b/>
                <w:bCs/>
                <w:color w:val="000000"/>
                <w:sz w:val="20"/>
                <w:szCs w:val="20"/>
                <w:lang w:eastAsia="en-GB"/>
              </w:rPr>
              <w:t>Number</w:t>
            </w:r>
          </w:p>
        </w:tc>
        <w:tc>
          <w:tcPr>
            <w:tcW w:w="400" w:type="dxa"/>
            <w:tcBorders>
              <w:top w:val="nil"/>
              <w:left w:val="nil"/>
              <w:bottom w:val="nil"/>
              <w:right w:val="nil"/>
            </w:tcBorders>
            <w:shd w:val="clear" w:color="auto" w:fill="auto"/>
            <w:noWrap/>
            <w:vAlign w:val="bottom"/>
            <w:hideMark/>
          </w:tcPr>
          <w:p w:rsidR="0028396B" w:rsidRPr="00C245C6" w:rsidRDefault="0028396B" w:rsidP="00A364AF">
            <w:pPr>
              <w:rPr>
                <w:rFonts w:ascii="Calibri" w:eastAsia="Times New Roman" w:hAnsi="Calibri" w:cs="Times New Roman"/>
                <w:color w:val="000000"/>
                <w:sz w:val="22"/>
                <w:szCs w:val="22"/>
                <w:lang w:eastAsia="en-GB"/>
              </w:rPr>
            </w:pPr>
          </w:p>
        </w:tc>
        <w:tc>
          <w:tcPr>
            <w:tcW w:w="1366" w:type="dxa"/>
            <w:tcBorders>
              <w:top w:val="single" w:sz="8" w:space="0" w:color="auto"/>
              <w:left w:val="single" w:sz="8" w:space="0" w:color="auto"/>
              <w:bottom w:val="single" w:sz="8" w:space="0" w:color="auto"/>
              <w:right w:val="single" w:sz="8" w:space="0" w:color="auto"/>
            </w:tcBorders>
            <w:shd w:val="clear" w:color="000000" w:fill="DCE6F1"/>
            <w:noWrap/>
            <w:vAlign w:val="center"/>
          </w:tcPr>
          <w:p w:rsidR="0028396B" w:rsidRDefault="0028396B" w:rsidP="00A364AF">
            <w:pPr>
              <w:rPr>
                <w:b/>
                <w:bCs/>
                <w:color w:val="000000"/>
                <w:sz w:val="20"/>
                <w:szCs w:val="20"/>
              </w:rPr>
            </w:pPr>
            <w:r>
              <w:rPr>
                <w:b/>
                <w:bCs/>
                <w:color w:val="000000"/>
                <w:sz w:val="20"/>
                <w:szCs w:val="20"/>
              </w:rPr>
              <w:t>Disabled</w:t>
            </w:r>
          </w:p>
        </w:tc>
        <w:tc>
          <w:tcPr>
            <w:tcW w:w="1314"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sidRPr="00C245C6">
              <w:rPr>
                <w:rFonts w:eastAsia="Times New Roman"/>
                <w:b/>
                <w:bCs/>
                <w:color w:val="000000"/>
                <w:sz w:val="20"/>
                <w:szCs w:val="20"/>
                <w:lang w:eastAsia="en-GB"/>
              </w:rPr>
              <w:t>Percentage</w:t>
            </w:r>
          </w:p>
        </w:tc>
        <w:tc>
          <w:tcPr>
            <w:tcW w:w="972" w:type="dxa"/>
            <w:tcBorders>
              <w:top w:val="single" w:sz="8" w:space="0" w:color="auto"/>
              <w:left w:val="nil"/>
              <w:bottom w:val="single" w:sz="8" w:space="0" w:color="auto"/>
              <w:right w:val="single" w:sz="8" w:space="0" w:color="auto"/>
            </w:tcBorders>
            <w:shd w:val="clear" w:color="000000" w:fill="DCE6F1"/>
            <w:noWrap/>
            <w:vAlign w:val="center"/>
            <w:hideMark/>
          </w:tcPr>
          <w:p w:rsidR="0028396B" w:rsidRPr="00C245C6" w:rsidRDefault="0028396B" w:rsidP="00A364AF">
            <w:pPr>
              <w:jc w:val="center"/>
              <w:rPr>
                <w:rFonts w:eastAsia="Times New Roman"/>
                <w:b/>
                <w:bCs/>
                <w:color w:val="000000"/>
                <w:sz w:val="20"/>
                <w:szCs w:val="20"/>
                <w:lang w:eastAsia="en-GB"/>
              </w:rPr>
            </w:pPr>
            <w:r>
              <w:rPr>
                <w:rFonts w:eastAsia="Times New Roman"/>
                <w:b/>
                <w:bCs/>
                <w:color w:val="000000"/>
                <w:sz w:val="20"/>
                <w:szCs w:val="20"/>
                <w:lang w:eastAsia="en-GB"/>
              </w:rPr>
              <w:t>Number</w:t>
            </w:r>
          </w:p>
        </w:tc>
      </w:tr>
      <w:tr w:rsidR="0054256B"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54256B" w:rsidRDefault="0054256B" w:rsidP="00A364AF">
            <w:pPr>
              <w:rPr>
                <w:color w:val="000000"/>
                <w:sz w:val="20"/>
                <w:szCs w:val="20"/>
              </w:rPr>
            </w:pPr>
            <w:r>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76.88</w:t>
            </w:r>
          </w:p>
        </w:tc>
        <w:tc>
          <w:tcPr>
            <w:tcW w:w="972"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153</w:t>
            </w:r>
          </w:p>
        </w:tc>
        <w:tc>
          <w:tcPr>
            <w:tcW w:w="400" w:type="dxa"/>
            <w:tcBorders>
              <w:top w:val="nil"/>
              <w:left w:val="nil"/>
              <w:bottom w:val="nil"/>
              <w:right w:val="nil"/>
            </w:tcBorders>
            <w:shd w:val="clear" w:color="auto" w:fill="auto"/>
            <w:noWrap/>
            <w:vAlign w:val="bottom"/>
            <w:hideMark/>
          </w:tcPr>
          <w:p w:rsidR="0054256B" w:rsidRPr="00C245C6" w:rsidRDefault="0054256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54256B" w:rsidRDefault="0054256B" w:rsidP="00A364AF">
            <w:pPr>
              <w:rPr>
                <w:color w:val="000000"/>
                <w:sz w:val="20"/>
                <w:szCs w:val="20"/>
              </w:rPr>
            </w:pPr>
            <w:r>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91.15</w:t>
            </w:r>
          </w:p>
        </w:tc>
        <w:tc>
          <w:tcPr>
            <w:tcW w:w="972"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103</w:t>
            </w:r>
          </w:p>
        </w:tc>
        <w:tc>
          <w:tcPr>
            <w:tcW w:w="400" w:type="dxa"/>
            <w:tcBorders>
              <w:top w:val="nil"/>
              <w:left w:val="nil"/>
              <w:bottom w:val="nil"/>
              <w:right w:val="nil"/>
            </w:tcBorders>
            <w:shd w:val="clear" w:color="auto" w:fill="auto"/>
            <w:noWrap/>
            <w:vAlign w:val="bottom"/>
          </w:tcPr>
          <w:p w:rsidR="0054256B" w:rsidRPr="00C245C6" w:rsidRDefault="0054256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54256B" w:rsidRDefault="0054256B" w:rsidP="00A364AF">
            <w:pPr>
              <w:rPr>
                <w:color w:val="000000"/>
                <w:sz w:val="20"/>
                <w:szCs w:val="20"/>
              </w:rPr>
            </w:pPr>
            <w:r>
              <w:rPr>
                <w:color w:val="000000"/>
                <w:sz w:val="20"/>
                <w:szCs w:val="20"/>
              </w:rPr>
              <w:t>No</w:t>
            </w:r>
          </w:p>
        </w:tc>
        <w:tc>
          <w:tcPr>
            <w:tcW w:w="1314" w:type="dxa"/>
            <w:tcBorders>
              <w:top w:val="nil"/>
              <w:left w:val="nil"/>
              <w:bottom w:val="single" w:sz="8" w:space="0" w:color="auto"/>
              <w:right w:val="single" w:sz="8" w:space="0" w:color="auto"/>
            </w:tcBorders>
            <w:shd w:val="clear" w:color="auto" w:fill="auto"/>
            <w:noWrap/>
            <w:vAlign w:val="center"/>
          </w:tcPr>
          <w:p w:rsidR="0054256B" w:rsidRDefault="0054256B">
            <w:pPr>
              <w:jc w:val="center"/>
              <w:rPr>
                <w:sz w:val="20"/>
                <w:szCs w:val="20"/>
              </w:rPr>
            </w:pPr>
            <w:r>
              <w:rPr>
                <w:sz w:val="20"/>
                <w:szCs w:val="20"/>
              </w:rPr>
              <w:t>90.07</w:t>
            </w:r>
          </w:p>
        </w:tc>
        <w:tc>
          <w:tcPr>
            <w:tcW w:w="972" w:type="dxa"/>
            <w:tcBorders>
              <w:top w:val="nil"/>
              <w:left w:val="nil"/>
              <w:bottom w:val="single" w:sz="8" w:space="0" w:color="auto"/>
              <w:right w:val="single" w:sz="8" w:space="0" w:color="auto"/>
            </w:tcBorders>
            <w:shd w:val="clear" w:color="auto" w:fill="auto"/>
            <w:noWrap/>
            <w:vAlign w:val="center"/>
          </w:tcPr>
          <w:p w:rsidR="0054256B" w:rsidRDefault="0054256B">
            <w:pPr>
              <w:jc w:val="center"/>
              <w:rPr>
                <w:sz w:val="20"/>
                <w:szCs w:val="20"/>
              </w:rPr>
            </w:pPr>
            <w:r>
              <w:rPr>
                <w:sz w:val="20"/>
                <w:szCs w:val="20"/>
              </w:rPr>
              <w:t>136</w:t>
            </w:r>
          </w:p>
        </w:tc>
      </w:tr>
      <w:tr w:rsidR="0054256B"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54256B" w:rsidRDefault="0054256B" w:rsidP="00A364AF">
            <w:pPr>
              <w:rPr>
                <w:color w:val="000000"/>
                <w:sz w:val="20"/>
                <w:szCs w:val="20"/>
              </w:rPr>
            </w:pPr>
            <w:r>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9.05</w:t>
            </w:r>
          </w:p>
        </w:tc>
        <w:tc>
          <w:tcPr>
            <w:tcW w:w="972"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18</w:t>
            </w:r>
          </w:p>
        </w:tc>
        <w:tc>
          <w:tcPr>
            <w:tcW w:w="400" w:type="dxa"/>
            <w:tcBorders>
              <w:top w:val="nil"/>
              <w:left w:val="nil"/>
              <w:bottom w:val="nil"/>
              <w:right w:val="nil"/>
            </w:tcBorders>
            <w:shd w:val="clear" w:color="auto" w:fill="auto"/>
            <w:noWrap/>
            <w:vAlign w:val="bottom"/>
            <w:hideMark/>
          </w:tcPr>
          <w:p w:rsidR="0054256B" w:rsidRPr="00C245C6" w:rsidRDefault="0054256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54256B" w:rsidRDefault="0054256B" w:rsidP="00A364AF">
            <w:pPr>
              <w:rPr>
                <w:color w:val="000000"/>
                <w:sz w:val="20"/>
                <w:szCs w:val="20"/>
              </w:rPr>
            </w:pPr>
            <w:r>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7.97</w:t>
            </w:r>
          </w:p>
        </w:tc>
        <w:tc>
          <w:tcPr>
            <w:tcW w:w="972"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9</w:t>
            </w:r>
          </w:p>
        </w:tc>
        <w:tc>
          <w:tcPr>
            <w:tcW w:w="400" w:type="dxa"/>
            <w:tcBorders>
              <w:top w:val="nil"/>
              <w:left w:val="nil"/>
              <w:bottom w:val="nil"/>
              <w:right w:val="nil"/>
            </w:tcBorders>
            <w:shd w:val="clear" w:color="auto" w:fill="auto"/>
            <w:noWrap/>
            <w:vAlign w:val="bottom"/>
          </w:tcPr>
          <w:p w:rsidR="0054256B" w:rsidRPr="00C245C6" w:rsidRDefault="0054256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54256B" w:rsidRDefault="0054256B" w:rsidP="00A364AF">
            <w:pPr>
              <w:rPr>
                <w:color w:val="000000"/>
                <w:sz w:val="20"/>
                <w:szCs w:val="20"/>
              </w:rPr>
            </w:pPr>
            <w:r>
              <w:rPr>
                <w:color w:val="000000"/>
                <w:sz w:val="20"/>
                <w:szCs w:val="20"/>
              </w:rPr>
              <w:t>Yes</w:t>
            </w:r>
          </w:p>
        </w:tc>
        <w:tc>
          <w:tcPr>
            <w:tcW w:w="1314" w:type="dxa"/>
            <w:tcBorders>
              <w:top w:val="nil"/>
              <w:left w:val="nil"/>
              <w:bottom w:val="single" w:sz="8" w:space="0" w:color="auto"/>
              <w:right w:val="single" w:sz="8" w:space="0" w:color="auto"/>
            </w:tcBorders>
            <w:shd w:val="clear" w:color="auto" w:fill="auto"/>
            <w:noWrap/>
            <w:vAlign w:val="center"/>
          </w:tcPr>
          <w:p w:rsidR="0054256B" w:rsidRDefault="0054256B">
            <w:pPr>
              <w:jc w:val="center"/>
              <w:rPr>
                <w:sz w:val="20"/>
                <w:szCs w:val="20"/>
              </w:rPr>
            </w:pPr>
            <w:r>
              <w:rPr>
                <w:sz w:val="20"/>
                <w:szCs w:val="20"/>
              </w:rPr>
              <w:t>7.94</w:t>
            </w:r>
          </w:p>
        </w:tc>
        <w:tc>
          <w:tcPr>
            <w:tcW w:w="972" w:type="dxa"/>
            <w:tcBorders>
              <w:top w:val="nil"/>
              <w:left w:val="nil"/>
              <w:bottom w:val="single" w:sz="8" w:space="0" w:color="auto"/>
              <w:right w:val="single" w:sz="8" w:space="0" w:color="auto"/>
            </w:tcBorders>
            <w:shd w:val="clear" w:color="auto" w:fill="auto"/>
            <w:noWrap/>
            <w:vAlign w:val="center"/>
          </w:tcPr>
          <w:p w:rsidR="0054256B" w:rsidRDefault="0054256B">
            <w:pPr>
              <w:jc w:val="center"/>
              <w:rPr>
                <w:sz w:val="20"/>
                <w:szCs w:val="20"/>
              </w:rPr>
            </w:pPr>
            <w:r>
              <w:rPr>
                <w:sz w:val="20"/>
                <w:szCs w:val="20"/>
              </w:rPr>
              <w:t>12</w:t>
            </w:r>
          </w:p>
        </w:tc>
      </w:tr>
      <w:tr w:rsidR="0054256B" w:rsidTr="00A364AF">
        <w:trPr>
          <w:trHeight w:val="315"/>
        </w:trPr>
        <w:tc>
          <w:tcPr>
            <w:tcW w:w="1366" w:type="dxa"/>
            <w:tcBorders>
              <w:top w:val="nil"/>
              <w:left w:val="single" w:sz="8" w:space="0" w:color="auto"/>
              <w:bottom w:val="single" w:sz="8" w:space="0" w:color="auto"/>
              <w:right w:val="single" w:sz="8" w:space="0" w:color="auto"/>
            </w:tcBorders>
            <w:shd w:val="clear" w:color="auto" w:fill="auto"/>
            <w:noWrap/>
            <w:vAlign w:val="center"/>
          </w:tcPr>
          <w:p w:rsidR="0054256B" w:rsidRDefault="0054256B" w:rsidP="00A364AF">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14.07</w:t>
            </w:r>
          </w:p>
        </w:tc>
        <w:tc>
          <w:tcPr>
            <w:tcW w:w="972"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28</w:t>
            </w:r>
          </w:p>
        </w:tc>
        <w:tc>
          <w:tcPr>
            <w:tcW w:w="400" w:type="dxa"/>
            <w:tcBorders>
              <w:top w:val="nil"/>
              <w:left w:val="nil"/>
              <w:bottom w:val="nil"/>
              <w:right w:val="nil"/>
            </w:tcBorders>
            <w:shd w:val="clear" w:color="auto" w:fill="auto"/>
            <w:noWrap/>
            <w:vAlign w:val="bottom"/>
            <w:hideMark/>
          </w:tcPr>
          <w:p w:rsidR="0054256B" w:rsidRPr="00C245C6" w:rsidRDefault="0054256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54256B" w:rsidRDefault="0054256B" w:rsidP="00A364AF">
            <w:pPr>
              <w:rPr>
                <w:color w:val="000000"/>
                <w:sz w:val="20"/>
                <w:szCs w:val="20"/>
              </w:rPr>
            </w:pPr>
            <w:r>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0.88</w:t>
            </w:r>
          </w:p>
        </w:tc>
        <w:tc>
          <w:tcPr>
            <w:tcW w:w="972" w:type="dxa"/>
            <w:tcBorders>
              <w:top w:val="nil"/>
              <w:left w:val="nil"/>
              <w:bottom w:val="single" w:sz="8" w:space="0" w:color="auto"/>
              <w:right w:val="single" w:sz="8" w:space="0" w:color="auto"/>
            </w:tcBorders>
            <w:shd w:val="clear" w:color="auto" w:fill="auto"/>
            <w:noWrap/>
            <w:vAlign w:val="center"/>
          </w:tcPr>
          <w:p w:rsidR="0054256B" w:rsidRDefault="0054256B">
            <w:pPr>
              <w:jc w:val="center"/>
              <w:rPr>
                <w:color w:val="000000"/>
                <w:sz w:val="20"/>
                <w:szCs w:val="20"/>
              </w:rPr>
            </w:pPr>
            <w:r>
              <w:rPr>
                <w:color w:val="000000"/>
                <w:sz w:val="20"/>
                <w:szCs w:val="20"/>
              </w:rPr>
              <w:t>1</w:t>
            </w:r>
          </w:p>
        </w:tc>
        <w:tc>
          <w:tcPr>
            <w:tcW w:w="400" w:type="dxa"/>
            <w:tcBorders>
              <w:top w:val="nil"/>
              <w:left w:val="nil"/>
              <w:bottom w:val="nil"/>
              <w:right w:val="nil"/>
            </w:tcBorders>
            <w:shd w:val="clear" w:color="auto" w:fill="auto"/>
            <w:noWrap/>
            <w:vAlign w:val="bottom"/>
          </w:tcPr>
          <w:p w:rsidR="0054256B" w:rsidRPr="00C245C6" w:rsidRDefault="0054256B"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auto" w:fill="auto"/>
            <w:noWrap/>
            <w:vAlign w:val="center"/>
          </w:tcPr>
          <w:p w:rsidR="0054256B" w:rsidRPr="002E1471" w:rsidRDefault="0054256B" w:rsidP="00A364AF">
            <w:pPr>
              <w:rPr>
                <w:color w:val="000000"/>
                <w:sz w:val="20"/>
                <w:szCs w:val="20"/>
              </w:rPr>
            </w:pPr>
            <w:r w:rsidRPr="002E1471">
              <w:rPr>
                <w:color w:val="000000"/>
                <w:sz w:val="20"/>
                <w:szCs w:val="20"/>
              </w:rPr>
              <w:t>Not Specified</w:t>
            </w:r>
          </w:p>
        </w:tc>
        <w:tc>
          <w:tcPr>
            <w:tcW w:w="1314" w:type="dxa"/>
            <w:tcBorders>
              <w:top w:val="nil"/>
              <w:left w:val="nil"/>
              <w:bottom w:val="single" w:sz="8" w:space="0" w:color="auto"/>
              <w:right w:val="single" w:sz="8" w:space="0" w:color="auto"/>
            </w:tcBorders>
            <w:shd w:val="clear" w:color="auto" w:fill="auto"/>
            <w:noWrap/>
            <w:vAlign w:val="center"/>
          </w:tcPr>
          <w:p w:rsidR="0054256B" w:rsidRPr="002E1471" w:rsidRDefault="0054256B">
            <w:pPr>
              <w:jc w:val="center"/>
              <w:rPr>
                <w:sz w:val="20"/>
                <w:szCs w:val="20"/>
              </w:rPr>
            </w:pPr>
            <w:r w:rsidRPr="002E1471">
              <w:rPr>
                <w:sz w:val="20"/>
                <w:szCs w:val="20"/>
              </w:rPr>
              <w:t>1.99</w:t>
            </w:r>
          </w:p>
        </w:tc>
        <w:tc>
          <w:tcPr>
            <w:tcW w:w="972" w:type="dxa"/>
            <w:tcBorders>
              <w:top w:val="nil"/>
              <w:left w:val="nil"/>
              <w:bottom w:val="single" w:sz="8" w:space="0" w:color="auto"/>
              <w:right w:val="single" w:sz="8" w:space="0" w:color="auto"/>
            </w:tcBorders>
            <w:shd w:val="clear" w:color="auto" w:fill="auto"/>
            <w:noWrap/>
            <w:vAlign w:val="center"/>
          </w:tcPr>
          <w:p w:rsidR="0054256B" w:rsidRDefault="0054256B">
            <w:pPr>
              <w:jc w:val="center"/>
              <w:rPr>
                <w:sz w:val="20"/>
                <w:szCs w:val="20"/>
              </w:rPr>
            </w:pPr>
            <w:r>
              <w:rPr>
                <w:sz w:val="20"/>
                <w:szCs w:val="20"/>
              </w:rPr>
              <w:t>3</w:t>
            </w:r>
          </w:p>
        </w:tc>
      </w:tr>
      <w:tr w:rsidR="00670E41" w:rsidRPr="00C245C6" w:rsidTr="0028396B">
        <w:trPr>
          <w:trHeight w:val="315"/>
        </w:trPr>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670E41" w:rsidRPr="00C245C6" w:rsidRDefault="00670E41"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670E41" w:rsidRPr="00C245C6" w:rsidRDefault="00670E41" w:rsidP="00A364AF">
            <w:pPr>
              <w:jc w:val="center"/>
              <w:rPr>
                <w:rFonts w:eastAsia="Times New Roman"/>
                <w:b/>
                <w:bCs/>
                <w:color w:val="000000"/>
                <w:sz w:val="20"/>
                <w:szCs w:val="20"/>
                <w:lang w:eastAsia="en-GB"/>
              </w:rPr>
            </w:pPr>
            <w:r>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670E41" w:rsidRPr="00C245C6" w:rsidRDefault="00F31F7B" w:rsidP="00A364AF">
            <w:pPr>
              <w:jc w:val="center"/>
              <w:rPr>
                <w:rFonts w:eastAsia="Times New Roman"/>
                <w:b/>
                <w:bCs/>
                <w:color w:val="000000"/>
                <w:sz w:val="20"/>
                <w:szCs w:val="20"/>
                <w:lang w:eastAsia="en-GB"/>
              </w:rPr>
            </w:pPr>
            <w:r>
              <w:rPr>
                <w:rFonts w:eastAsia="Times New Roman"/>
                <w:b/>
                <w:bCs/>
                <w:color w:val="000000"/>
                <w:sz w:val="20"/>
                <w:szCs w:val="20"/>
                <w:lang w:eastAsia="en-GB"/>
              </w:rPr>
              <w:t>199</w:t>
            </w:r>
          </w:p>
        </w:tc>
        <w:tc>
          <w:tcPr>
            <w:tcW w:w="400" w:type="dxa"/>
            <w:tcBorders>
              <w:top w:val="nil"/>
              <w:left w:val="nil"/>
              <w:bottom w:val="nil"/>
              <w:right w:val="nil"/>
            </w:tcBorders>
            <w:shd w:val="clear" w:color="auto" w:fill="auto"/>
            <w:noWrap/>
            <w:vAlign w:val="bottom"/>
            <w:hideMark/>
          </w:tcPr>
          <w:p w:rsidR="00670E41" w:rsidRPr="00C245C6" w:rsidRDefault="00670E41"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670E41" w:rsidRPr="00C245C6" w:rsidRDefault="00670E41"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670E41" w:rsidRPr="00C245C6" w:rsidRDefault="00670E41" w:rsidP="00A364AF">
            <w:pPr>
              <w:jc w:val="center"/>
              <w:rPr>
                <w:rFonts w:eastAsia="Times New Roman"/>
                <w:b/>
                <w:bCs/>
                <w:color w:val="000000"/>
                <w:sz w:val="20"/>
                <w:szCs w:val="20"/>
                <w:lang w:eastAsia="en-GB"/>
              </w:rPr>
            </w:pPr>
            <w:r>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670E41" w:rsidRPr="00C245C6" w:rsidRDefault="00F31F7B" w:rsidP="00A364AF">
            <w:pPr>
              <w:jc w:val="center"/>
              <w:rPr>
                <w:rFonts w:eastAsia="Times New Roman"/>
                <w:b/>
                <w:bCs/>
                <w:color w:val="000000"/>
                <w:sz w:val="20"/>
                <w:szCs w:val="20"/>
                <w:lang w:eastAsia="en-GB"/>
              </w:rPr>
            </w:pPr>
            <w:r>
              <w:rPr>
                <w:rFonts w:eastAsia="Times New Roman"/>
                <w:b/>
                <w:bCs/>
                <w:color w:val="000000"/>
                <w:sz w:val="20"/>
                <w:szCs w:val="20"/>
                <w:lang w:eastAsia="en-GB"/>
              </w:rPr>
              <w:t>113</w:t>
            </w:r>
          </w:p>
        </w:tc>
        <w:tc>
          <w:tcPr>
            <w:tcW w:w="400" w:type="dxa"/>
            <w:tcBorders>
              <w:top w:val="nil"/>
              <w:left w:val="nil"/>
              <w:bottom w:val="nil"/>
              <w:right w:val="nil"/>
            </w:tcBorders>
            <w:shd w:val="clear" w:color="auto" w:fill="auto"/>
            <w:noWrap/>
            <w:vAlign w:val="bottom"/>
            <w:hideMark/>
          </w:tcPr>
          <w:p w:rsidR="00670E41" w:rsidRPr="00C245C6" w:rsidRDefault="00670E41" w:rsidP="00A364AF">
            <w:pPr>
              <w:rPr>
                <w:rFonts w:ascii="Calibri" w:eastAsia="Times New Roman" w:hAnsi="Calibri" w:cs="Times New Roman"/>
                <w:color w:val="000000"/>
                <w:sz w:val="22"/>
                <w:szCs w:val="22"/>
                <w:lang w:eastAsia="en-GB"/>
              </w:rPr>
            </w:pPr>
          </w:p>
        </w:tc>
        <w:tc>
          <w:tcPr>
            <w:tcW w:w="1366" w:type="dxa"/>
            <w:tcBorders>
              <w:top w:val="nil"/>
              <w:left w:val="single" w:sz="8" w:space="0" w:color="auto"/>
              <w:bottom w:val="single" w:sz="8" w:space="0" w:color="auto"/>
              <w:right w:val="single" w:sz="8" w:space="0" w:color="auto"/>
            </w:tcBorders>
            <w:shd w:val="clear" w:color="000000" w:fill="DCE6F1"/>
            <w:noWrap/>
            <w:vAlign w:val="center"/>
            <w:hideMark/>
          </w:tcPr>
          <w:p w:rsidR="00670E41" w:rsidRPr="00C245C6" w:rsidRDefault="00670E41" w:rsidP="00A364AF">
            <w:pPr>
              <w:rPr>
                <w:rFonts w:eastAsia="Times New Roman"/>
                <w:b/>
                <w:bCs/>
                <w:color w:val="000000"/>
                <w:sz w:val="20"/>
                <w:szCs w:val="20"/>
                <w:lang w:eastAsia="en-GB"/>
              </w:rPr>
            </w:pPr>
            <w:r w:rsidRPr="00C245C6">
              <w:rPr>
                <w:rFonts w:eastAsia="Times New Roman"/>
                <w:b/>
                <w:bCs/>
                <w:color w:val="000000"/>
                <w:sz w:val="20"/>
                <w:szCs w:val="20"/>
                <w:lang w:eastAsia="en-GB"/>
              </w:rPr>
              <w:t>Total</w:t>
            </w:r>
          </w:p>
        </w:tc>
        <w:tc>
          <w:tcPr>
            <w:tcW w:w="1314" w:type="dxa"/>
            <w:tcBorders>
              <w:top w:val="nil"/>
              <w:left w:val="nil"/>
              <w:bottom w:val="single" w:sz="8" w:space="0" w:color="auto"/>
              <w:right w:val="single" w:sz="8" w:space="0" w:color="auto"/>
            </w:tcBorders>
            <w:shd w:val="clear" w:color="000000" w:fill="DCE6F1"/>
            <w:noWrap/>
            <w:vAlign w:val="center"/>
          </w:tcPr>
          <w:p w:rsidR="00670E41" w:rsidRPr="00C245C6" w:rsidRDefault="00670E41" w:rsidP="00A364AF">
            <w:pPr>
              <w:jc w:val="center"/>
              <w:rPr>
                <w:rFonts w:eastAsia="Times New Roman"/>
                <w:b/>
                <w:bCs/>
                <w:color w:val="000000"/>
                <w:sz w:val="20"/>
                <w:szCs w:val="20"/>
                <w:lang w:eastAsia="en-GB"/>
              </w:rPr>
            </w:pPr>
            <w:r>
              <w:rPr>
                <w:rFonts w:eastAsia="Times New Roman"/>
                <w:b/>
                <w:bCs/>
                <w:color w:val="000000"/>
                <w:sz w:val="20"/>
                <w:szCs w:val="20"/>
                <w:lang w:eastAsia="en-GB"/>
              </w:rPr>
              <w:t>100%</w:t>
            </w:r>
          </w:p>
        </w:tc>
        <w:tc>
          <w:tcPr>
            <w:tcW w:w="972" w:type="dxa"/>
            <w:tcBorders>
              <w:top w:val="nil"/>
              <w:left w:val="nil"/>
              <w:bottom w:val="single" w:sz="8" w:space="0" w:color="auto"/>
              <w:right w:val="single" w:sz="8" w:space="0" w:color="auto"/>
            </w:tcBorders>
            <w:shd w:val="clear" w:color="000000" w:fill="DCE6F1"/>
            <w:noWrap/>
            <w:vAlign w:val="center"/>
          </w:tcPr>
          <w:p w:rsidR="00670E41" w:rsidRPr="00C245C6" w:rsidRDefault="00F31F7B" w:rsidP="00F31F7B">
            <w:pPr>
              <w:jc w:val="center"/>
              <w:rPr>
                <w:rFonts w:eastAsia="Times New Roman"/>
                <w:b/>
                <w:bCs/>
                <w:color w:val="000000"/>
                <w:sz w:val="20"/>
                <w:szCs w:val="20"/>
                <w:lang w:eastAsia="en-GB"/>
              </w:rPr>
            </w:pPr>
            <w:r>
              <w:rPr>
                <w:b/>
                <w:bCs/>
                <w:color w:val="000000"/>
                <w:sz w:val="20"/>
                <w:szCs w:val="20"/>
              </w:rPr>
              <w:t>151</w:t>
            </w:r>
          </w:p>
        </w:tc>
      </w:tr>
    </w:tbl>
    <w:p w:rsidR="005732E5" w:rsidRPr="00701098" w:rsidRDefault="005732E5" w:rsidP="008A22C6">
      <w:pPr>
        <w:rPr>
          <w:b/>
          <w:sz w:val="22"/>
          <w:szCs w:val="22"/>
        </w:rPr>
      </w:pPr>
    </w:p>
    <w:p w:rsidR="000659F6" w:rsidRPr="000540D8" w:rsidRDefault="0054256B" w:rsidP="008A22C6">
      <w:pPr>
        <w:rPr>
          <w:szCs w:val="22"/>
        </w:rPr>
      </w:pPr>
      <w:r w:rsidRPr="000540D8">
        <w:rPr>
          <w:b/>
          <w:szCs w:val="22"/>
        </w:rPr>
        <w:t xml:space="preserve">Commentary: </w:t>
      </w:r>
      <w:r w:rsidR="00F31F7B" w:rsidRPr="000540D8">
        <w:rPr>
          <w:szCs w:val="22"/>
        </w:rPr>
        <w:t xml:space="preserve">The </w:t>
      </w:r>
      <w:r w:rsidRPr="000540D8">
        <w:rPr>
          <w:szCs w:val="22"/>
        </w:rPr>
        <w:t>number</w:t>
      </w:r>
      <w:r w:rsidR="00F31F7B" w:rsidRPr="000540D8">
        <w:rPr>
          <w:szCs w:val="22"/>
        </w:rPr>
        <w:t xml:space="preserve"> of female staff </w:t>
      </w:r>
      <w:r w:rsidRPr="000540D8">
        <w:rPr>
          <w:szCs w:val="22"/>
        </w:rPr>
        <w:t>that</w:t>
      </w:r>
      <w:r w:rsidR="00F31F7B" w:rsidRPr="000540D8">
        <w:rPr>
          <w:szCs w:val="22"/>
        </w:rPr>
        <w:t xml:space="preserve"> left the Council </w:t>
      </w:r>
      <w:r w:rsidRPr="000540D8">
        <w:rPr>
          <w:szCs w:val="22"/>
        </w:rPr>
        <w:t>increased significantly between</w:t>
      </w:r>
      <w:r w:rsidR="00F31F7B" w:rsidRPr="000540D8">
        <w:rPr>
          <w:szCs w:val="22"/>
        </w:rPr>
        <w:t xml:space="preserve"> 201</w:t>
      </w:r>
      <w:r w:rsidRPr="000540D8">
        <w:rPr>
          <w:szCs w:val="22"/>
        </w:rPr>
        <w:t>6</w:t>
      </w:r>
      <w:r w:rsidR="00F31F7B" w:rsidRPr="000540D8">
        <w:rPr>
          <w:szCs w:val="22"/>
        </w:rPr>
        <w:t>/1</w:t>
      </w:r>
      <w:r w:rsidRPr="000540D8">
        <w:rPr>
          <w:szCs w:val="22"/>
        </w:rPr>
        <w:t>7 and 2017/18</w:t>
      </w:r>
      <w:r w:rsidR="00F31F7B" w:rsidRPr="000540D8">
        <w:rPr>
          <w:szCs w:val="22"/>
        </w:rPr>
        <w:t xml:space="preserve"> but is </w:t>
      </w:r>
      <w:r w:rsidR="00A64958" w:rsidRPr="000540D8">
        <w:rPr>
          <w:szCs w:val="22"/>
        </w:rPr>
        <w:t xml:space="preserve">at a lower rate than 2015/16. This also applies to leavers from a BAME group, but there has been a significant increase in leavers who did not </w:t>
      </w:r>
      <w:r w:rsidR="00A758ED" w:rsidRPr="000540D8">
        <w:rPr>
          <w:szCs w:val="22"/>
        </w:rPr>
        <w:t xml:space="preserve">specify their ethnicity when they first joined the Council. </w:t>
      </w:r>
      <w:r w:rsidR="000659F6" w:rsidRPr="000540D8">
        <w:rPr>
          <w:szCs w:val="22"/>
        </w:rPr>
        <w:t xml:space="preserve">The proportion of </w:t>
      </w:r>
      <w:r w:rsidR="00A758ED" w:rsidRPr="000540D8">
        <w:rPr>
          <w:szCs w:val="22"/>
        </w:rPr>
        <w:t>leavers that</w:t>
      </w:r>
      <w:r w:rsidR="000659F6" w:rsidRPr="000540D8">
        <w:rPr>
          <w:szCs w:val="22"/>
        </w:rPr>
        <w:t xml:space="preserve"> </w:t>
      </w:r>
      <w:r w:rsidR="00A758ED" w:rsidRPr="000540D8">
        <w:rPr>
          <w:szCs w:val="22"/>
        </w:rPr>
        <w:t>declared that</w:t>
      </w:r>
      <w:r w:rsidR="000659F6" w:rsidRPr="000540D8">
        <w:rPr>
          <w:szCs w:val="22"/>
        </w:rPr>
        <w:t xml:space="preserve"> </w:t>
      </w:r>
      <w:r w:rsidR="00A758ED" w:rsidRPr="000540D8">
        <w:rPr>
          <w:szCs w:val="22"/>
        </w:rPr>
        <w:t>they</w:t>
      </w:r>
      <w:r w:rsidR="000659F6" w:rsidRPr="000540D8">
        <w:rPr>
          <w:szCs w:val="22"/>
        </w:rPr>
        <w:t xml:space="preserve"> </w:t>
      </w:r>
      <w:r w:rsidR="00A758ED" w:rsidRPr="000540D8">
        <w:rPr>
          <w:szCs w:val="22"/>
        </w:rPr>
        <w:t>had</w:t>
      </w:r>
      <w:r w:rsidR="000659F6" w:rsidRPr="000540D8">
        <w:rPr>
          <w:szCs w:val="22"/>
        </w:rPr>
        <w:t xml:space="preserve"> </w:t>
      </w:r>
      <w:r w:rsidR="00A758ED" w:rsidRPr="000540D8">
        <w:rPr>
          <w:szCs w:val="22"/>
        </w:rPr>
        <w:t>a</w:t>
      </w:r>
      <w:r w:rsidR="000659F6" w:rsidRPr="000540D8">
        <w:rPr>
          <w:szCs w:val="22"/>
        </w:rPr>
        <w:t xml:space="preserve"> disability </w:t>
      </w:r>
      <w:r w:rsidR="00A758ED" w:rsidRPr="000540D8">
        <w:rPr>
          <w:szCs w:val="22"/>
        </w:rPr>
        <w:t>during</w:t>
      </w:r>
      <w:r w:rsidR="000659F6" w:rsidRPr="000540D8">
        <w:rPr>
          <w:szCs w:val="22"/>
        </w:rPr>
        <w:t xml:space="preserve"> 2017/18 was </w:t>
      </w:r>
      <w:r w:rsidR="00A758ED" w:rsidRPr="000540D8">
        <w:rPr>
          <w:szCs w:val="22"/>
        </w:rPr>
        <w:t>at a similar</w:t>
      </w:r>
      <w:r w:rsidR="000659F6" w:rsidRPr="000540D8">
        <w:rPr>
          <w:szCs w:val="22"/>
        </w:rPr>
        <w:t xml:space="preserve"> </w:t>
      </w:r>
      <w:r w:rsidR="00A758ED" w:rsidRPr="000540D8">
        <w:rPr>
          <w:szCs w:val="22"/>
        </w:rPr>
        <w:t xml:space="preserve">level to </w:t>
      </w:r>
      <w:r w:rsidR="000659F6" w:rsidRPr="000540D8">
        <w:rPr>
          <w:szCs w:val="22"/>
        </w:rPr>
        <w:t xml:space="preserve">2016/17, </w:t>
      </w:r>
      <w:r w:rsidR="00A758ED" w:rsidRPr="000540D8">
        <w:rPr>
          <w:szCs w:val="22"/>
        </w:rPr>
        <w:t>but is</w:t>
      </w:r>
      <w:r w:rsidR="000659F6" w:rsidRPr="000540D8">
        <w:rPr>
          <w:szCs w:val="22"/>
        </w:rPr>
        <w:t xml:space="preserve"> </w:t>
      </w:r>
      <w:r w:rsidR="00A758ED" w:rsidRPr="000540D8">
        <w:rPr>
          <w:szCs w:val="22"/>
        </w:rPr>
        <w:t xml:space="preserve">significantly </w:t>
      </w:r>
      <w:r w:rsidR="000659F6" w:rsidRPr="000540D8">
        <w:rPr>
          <w:szCs w:val="22"/>
        </w:rPr>
        <w:t>lower than 2015/16.</w:t>
      </w:r>
    </w:p>
    <w:p w:rsidR="00D246B5" w:rsidRDefault="00D246B5" w:rsidP="008A22C6">
      <w:pPr>
        <w:rPr>
          <w:szCs w:val="22"/>
        </w:rPr>
      </w:pPr>
    </w:p>
    <w:p w:rsidR="006E6CB8" w:rsidRDefault="006E6CB8" w:rsidP="008A22C6">
      <w:pPr>
        <w:rPr>
          <w:szCs w:val="22"/>
        </w:rPr>
      </w:pPr>
    </w:p>
    <w:p w:rsidR="006E6CB8" w:rsidRDefault="006E6CB8" w:rsidP="008A22C6">
      <w:pPr>
        <w:rPr>
          <w:szCs w:val="22"/>
        </w:rPr>
      </w:pPr>
    </w:p>
    <w:p w:rsidR="00D246B5" w:rsidRPr="006E6CB8" w:rsidRDefault="00D246B5" w:rsidP="008A22C6">
      <w:pPr>
        <w:rPr>
          <w:szCs w:val="22"/>
        </w:rPr>
      </w:pPr>
      <w:r w:rsidRPr="00D246B5">
        <w:rPr>
          <w:b/>
          <w:szCs w:val="22"/>
        </w:rPr>
        <w:lastRenderedPageBreak/>
        <w:t xml:space="preserve">SUMMARY OF REASONS FOR LEAVING </w:t>
      </w:r>
      <w:r>
        <w:rPr>
          <w:b/>
          <w:szCs w:val="22"/>
        </w:rPr>
        <w:t xml:space="preserve">BETWEEN </w:t>
      </w:r>
      <w:r w:rsidRPr="00D246B5">
        <w:rPr>
          <w:b/>
          <w:szCs w:val="22"/>
        </w:rPr>
        <w:t>2016 AND 2018</w:t>
      </w:r>
    </w:p>
    <w:tbl>
      <w:tblPr>
        <w:tblW w:w="15010" w:type="dxa"/>
        <w:tblLook w:val="04A0" w:firstRow="1" w:lastRow="0" w:firstColumn="1" w:lastColumn="0" w:noHBand="0" w:noVBand="1"/>
      </w:tblPr>
      <w:tblGrid>
        <w:gridCol w:w="2239"/>
        <w:gridCol w:w="1433"/>
        <w:gridCol w:w="1058"/>
        <w:gridCol w:w="298"/>
        <w:gridCol w:w="2322"/>
        <w:gridCol w:w="1411"/>
        <w:gridCol w:w="1128"/>
        <w:gridCol w:w="257"/>
        <w:gridCol w:w="2291"/>
        <w:gridCol w:w="1436"/>
        <w:gridCol w:w="1137"/>
      </w:tblGrid>
      <w:tr w:rsidR="00D246B5" w:rsidRPr="00711CDA" w:rsidTr="009618F2">
        <w:trPr>
          <w:trHeight w:val="315"/>
        </w:trPr>
        <w:tc>
          <w:tcPr>
            <w:tcW w:w="4730" w:type="dxa"/>
            <w:gridSpan w:val="3"/>
            <w:shd w:val="clear" w:color="auto" w:fill="auto"/>
            <w:noWrap/>
            <w:vAlign w:val="center"/>
          </w:tcPr>
          <w:p w:rsidR="00D246B5" w:rsidRPr="00711CDA" w:rsidRDefault="00D246B5" w:rsidP="00D246B5">
            <w:pPr>
              <w:rPr>
                <w:rFonts w:eastAsia="Times New Roman"/>
                <w:b/>
                <w:bCs/>
                <w:color w:val="000000"/>
                <w:sz w:val="20"/>
                <w:szCs w:val="20"/>
                <w:lang w:eastAsia="en-GB"/>
              </w:rPr>
            </w:pPr>
            <w:r>
              <w:rPr>
                <w:rFonts w:eastAsia="Times New Roman"/>
                <w:b/>
                <w:bCs/>
                <w:color w:val="000000"/>
                <w:lang w:eastAsia="en-GB"/>
              </w:rPr>
              <w:t>Leavers during 2015/16</w:t>
            </w:r>
          </w:p>
        </w:tc>
        <w:tc>
          <w:tcPr>
            <w:tcW w:w="298" w:type="dxa"/>
            <w:shd w:val="clear" w:color="auto" w:fill="auto"/>
            <w:noWrap/>
            <w:vAlign w:val="bottom"/>
          </w:tcPr>
          <w:p w:rsidR="00D246B5" w:rsidRPr="00711CDA" w:rsidRDefault="00D246B5" w:rsidP="00A364AF">
            <w:pPr>
              <w:rPr>
                <w:rFonts w:eastAsia="Times New Roman"/>
                <w:color w:val="000000"/>
                <w:sz w:val="20"/>
                <w:szCs w:val="20"/>
                <w:lang w:eastAsia="en-GB"/>
              </w:rPr>
            </w:pPr>
          </w:p>
        </w:tc>
        <w:tc>
          <w:tcPr>
            <w:tcW w:w="4861" w:type="dxa"/>
            <w:gridSpan w:val="3"/>
            <w:shd w:val="clear" w:color="auto" w:fill="auto"/>
            <w:noWrap/>
            <w:vAlign w:val="center"/>
          </w:tcPr>
          <w:p w:rsidR="00D246B5" w:rsidRPr="00711CDA" w:rsidRDefault="00D246B5" w:rsidP="00A364AF">
            <w:pPr>
              <w:rPr>
                <w:rFonts w:eastAsia="Times New Roman"/>
                <w:b/>
                <w:bCs/>
                <w:color w:val="000000"/>
                <w:sz w:val="20"/>
                <w:szCs w:val="20"/>
                <w:lang w:eastAsia="en-GB"/>
              </w:rPr>
            </w:pPr>
            <w:r>
              <w:rPr>
                <w:rFonts w:eastAsia="Times New Roman"/>
                <w:b/>
                <w:bCs/>
                <w:color w:val="000000"/>
                <w:lang w:eastAsia="en-GB"/>
              </w:rPr>
              <w:t>Leavers during 2016/17</w:t>
            </w:r>
          </w:p>
        </w:tc>
        <w:tc>
          <w:tcPr>
            <w:tcW w:w="257" w:type="dxa"/>
            <w:shd w:val="clear" w:color="auto" w:fill="auto"/>
            <w:noWrap/>
            <w:vAlign w:val="bottom"/>
          </w:tcPr>
          <w:p w:rsidR="00D246B5" w:rsidRPr="00711CDA" w:rsidRDefault="00D246B5" w:rsidP="00A364AF">
            <w:pPr>
              <w:rPr>
                <w:rFonts w:eastAsia="Times New Roman"/>
                <w:color w:val="000000"/>
                <w:sz w:val="20"/>
                <w:szCs w:val="20"/>
                <w:lang w:eastAsia="en-GB"/>
              </w:rPr>
            </w:pPr>
          </w:p>
        </w:tc>
        <w:tc>
          <w:tcPr>
            <w:tcW w:w="4864" w:type="dxa"/>
            <w:gridSpan w:val="3"/>
            <w:shd w:val="clear" w:color="auto" w:fill="auto"/>
            <w:noWrap/>
            <w:vAlign w:val="center"/>
          </w:tcPr>
          <w:p w:rsidR="00D246B5" w:rsidRPr="00711CDA" w:rsidRDefault="00D246B5" w:rsidP="00A364AF">
            <w:pPr>
              <w:rPr>
                <w:rFonts w:eastAsia="Times New Roman"/>
                <w:b/>
                <w:bCs/>
                <w:color w:val="000000"/>
                <w:sz w:val="20"/>
                <w:szCs w:val="20"/>
                <w:lang w:eastAsia="en-GB"/>
              </w:rPr>
            </w:pPr>
            <w:r>
              <w:rPr>
                <w:rFonts w:eastAsia="Times New Roman"/>
                <w:b/>
                <w:bCs/>
                <w:color w:val="000000"/>
                <w:lang w:eastAsia="en-GB"/>
              </w:rPr>
              <w:t>Leavers during 2017/18</w:t>
            </w:r>
          </w:p>
        </w:tc>
      </w:tr>
      <w:tr w:rsidR="00D246B5" w:rsidRPr="00711CDA" w:rsidTr="009618F2">
        <w:trPr>
          <w:trHeight w:val="315"/>
        </w:trPr>
        <w:tc>
          <w:tcPr>
            <w:tcW w:w="2239" w:type="dxa"/>
            <w:tcBorders>
              <w:bottom w:val="single" w:sz="4" w:space="0" w:color="auto"/>
            </w:tcBorders>
            <w:shd w:val="clear" w:color="auto" w:fill="auto"/>
            <w:noWrap/>
            <w:vAlign w:val="center"/>
          </w:tcPr>
          <w:p w:rsidR="00D246B5" w:rsidRPr="00966EC2" w:rsidRDefault="00D246B5" w:rsidP="00A364AF">
            <w:pPr>
              <w:rPr>
                <w:rFonts w:eastAsia="Times New Roman"/>
                <w:b/>
                <w:bCs/>
                <w:color w:val="000000"/>
                <w:sz w:val="16"/>
                <w:szCs w:val="20"/>
                <w:lang w:eastAsia="en-GB"/>
              </w:rPr>
            </w:pPr>
          </w:p>
        </w:tc>
        <w:tc>
          <w:tcPr>
            <w:tcW w:w="1433"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c>
          <w:tcPr>
            <w:tcW w:w="1058"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c>
          <w:tcPr>
            <w:tcW w:w="298" w:type="dxa"/>
            <w:shd w:val="clear" w:color="auto" w:fill="auto"/>
            <w:noWrap/>
            <w:vAlign w:val="bottom"/>
          </w:tcPr>
          <w:p w:rsidR="00D246B5" w:rsidRPr="00966EC2" w:rsidRDefault="00D246B5" w:rsidP="00A364AF">
            <w:pPr>
              <w:rPr>
                <w:rFonts w:eastAsia="Times New Roman"/>
                <w:color w:val="000000"/>
                <w:sz w:val="16"/>
                <w:szCs w:val="20"/>
                <w:lang w:eastAsia="en-GB"/>
              </w:rPr>
            </w:pPr>
          </w:p>
        </w:tc>
        <w:tc>
          <w:tcPr>
            <w:tcW w:w="2322" w:type="dxa"/>
            <w:tcBorders>
              <w:bottom w:val="single" w:sz="4" w:space="0" w:color="auto"/>
            </w:tcBorders>
            <w:shd w:val="clear" w:color="auto" w:fill="auto"/>
            <w:noWrap/>
            <w:vAlign w:val="center"/>
          </w:tcPr>
          <w:p w:rsidR="00D246B5" w:rsidRPr="00966EC2" w:rsidRDefault="00D246B5" w:rsidP="00A364AF">
            <w:pPr>
              <w:rPr>
                <w:rFonts w:eastAsia="Times New Roman"/>
                <w:b/>
                <w:bCs/>
                <w:color w:val="000000"/>
                <w:sz w:val="16"/>
                <w:szCs w:val="20"/>
                <w:lang w:eastAsia="en-GB"/>
              </w:rPr>
            </w:pPr>
          </w:p>
        </w:tc>
        <w:tc>
          <w:tcPr>
            <w:tcW w:w="1411"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c>
          <w:tcPr>
            <w:tcW w:w="1128"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c>
          <w:tcPr>
            <w:tcW w:w="257" w:type="dxa"/>
            <w:shd w:val="clear" w:color="auto" w:fill="auto"/>
            <w:noWrap/>
            <w:vAlign w:val="bottom"/>
          </w:tcPr>
          <w:p w:rsidR="00D246B5" w:rsidRPr="00966EC2" w:rsidRDefault="00D246B5" w:rsidP="00A364AF">
            <w:pPr>
              <w:rPr>
                <w:rFonts w:eastAsia="Times New Roman"/>
                <w:color w:val="000000"/>
                <w:sz w:val="16"/>
                <w:szCs w:val="20"/>
                <w:lang w:eastAsia="en-GB"/>
              </w:rPr>
            </w:pPr>
          </w:p>
        </w:tc>
        <w:tc>
          <w:tcPr>
            <w:tcW w:w="2291" w:type="dxa"/>
            <w:tcBorders>
              <w:bottom w:val="single" w:sz="4" w:space="0" w:color="auto"/>
            </w:tcBorders>
            <w:shd w:val="clear" w:color="auto" w:fill="auto"/>
            <w:noWrap/>
            <w:vAlign w:val="center"/>
          </w:tcPr>
          <w:p w:rsidR="00D246B5" w:rsidRPr="00966EC2" w:rsidRDefault="00D246B5" w:rsidP="00A364AF">
            <w:pPr>
              <w:rPr>
                <w:rFonts w:eastAsia="Times New Roman"/>
                <w:b/>
                <w:bCs/>
                <w:color w:val="000000"/>
                <w:sz w:val="16"/>
                <w:szCs w:val="20"/>
                <w:lang w:eastAsia="en-GB"/>
              </w:rPr>
            </w:pPr>
          </w:p>
        </w:tc>
        <w:tc>
          <w:tcPr>
            <w:tcW w:w="1436"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c>
          <w:tcPr>
            <w:tcW w:w="1137" w:type="dxa"/>
            <w:tcBorders>
              <w:bottom w:val="single" w:sz="4" w:space="0" w:color="auto"/>
            </w:tcBorders>
            <w:shd w:val="clear" w:color="auto" w:fill="auto"/>
            <w:noWrap/>
            <w:vAlign w:val="center"/>
          </w:tcPr>
          <w:p w:rsidR="00D246B5" w:rsidRPr="00966EC2" w:rsidRDefault="00D246B5" w:rsidP="00A364AF">
            <w:pPr>
              <w:jc w:val="center"/>
              <w:rPr>
                <w:rFonts w:eastAsia="Times New Roman"/>
                <w:b/>
                <w:bCs/>
                <w:color w:val="000000"/>
                <w:sz w:val="16"/>
                <w:szCs w:val="20"/>
                <w:lang w:eastAsia="en-GB"/>
              </w:rPr>
            </w:pPr>
          </w:p>
        </w:tc>
      </w:tr>
      <w:tr w:rsidR="00966EC2" w:rsidRPr="00711CDA" w:rsidTr="009618F2">
        <w:trPr>
          <w:trHeight w:val="315"/>
        </w:trPr>
        <w:tc>
          <w:tcPr>
            <w:tcW w:w="2239" w:type="dxa"/>
            <w:tcBorders>
              <w:top w:val="single" w:sz="4" w:space="0" w:color="auto"/>
              <w:left w:val="single" w:sz="8" w:space="0" w:color="auto"/>
              <w:bottom w:val="single" w:sz="8" w:space="0" w:color="auto"/>
              <w:right w:val="single" w:sz="8" w:space="0" w:color="auto"/>
            </w:tcBorders>
            <w:shd w:val="clear" w:color="000000" w:fill="DCE6F1"/>
            <w:noWrap/>
            <w:vAlign w:val="center"/>
          </w:tcPr>
          <w:p w:rsidR="00966EC2" w:rsidRPr="00BB10D7" w:rsidRDefault="00966EC2" w:rsidP="00A364AF">
            <w:pPr>
              <w:rPr>
                <w:rFonts w:eastAsia="Times New Roman"/>
                <w:b/>
                <w:bCs/>
                <w:color w:val="000000"/>
                <w:sz w:val="20"/>
                <w:szCs w:val="20"/>
                <w:lang w:eastAsia="en-GB"/>
              </w:rPr>
            </w:pPr>
            <w:r>
              <w:rPr>
                <w:rFonts w:eastAsia="Times New Roman"/>
                <w:b/>
                <w:bCs/>
                <w:color w:val="000000"/>
                <w:sz w:val="20"/>
                <w:szCs w:val="20"/>
                <w:lang w:eastAsia="en-GB"/>
              </w:rPr>
              <w:t>Reason</w:t>
            </w:r>
          </w:p>
        </w:tc>
        <w:tc>
          <w:tcPr>
            <w:tcW w:w="1433" w:type="dxa"/>
            <w:tcBorders>
              <w:top w:val="single" w:sz="4" w:space="0" w:color="auto"/>
              <w:left w:val="nil"/>
              <w:bottom w:val="single" w:sz="8" w:space="0" w:color="auto"/>
              <w:right w:val="single" w:sz="8" w:space="0" w:color="auto"/>
            </w:tcBorders>
            <w:shd w:val="clear" w:color="000000" w:fill="DCE6F1"/>
            <w:noWrap/>
            <w:vAlign w:val="center"/>
          </w:tcPr>
          <w:p w:rsidR="00966EC2" w:rsidRPr="00BB10D7" w:rsidRDefault="00966EC2" w:rsidP="00A364AF">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058" w:type="dxa"/>
            <w:tcBorders>
              <w:top w:val="single" w:sz="4" w:space="0" w:color="auto"/>
              <w:left w:val="nil"/>
              <w:bottom w:val="single" w:sz="8" w:space="0" w:color="auto"/>
              <w:right w:val="single" w:sz="8" w:space="0" w:color="auto"/>
            </w:tcBorders>
            <w:shd w:val="clear" w:color="000000" w:fill="DCE6F1"/>
            <w:noWrap/>
            <w:vAlign w:val="center"/>
          </w:tcPr>
          <w:p w:rsidR="00966EC2" w:rsidRPr="00711CDA" w:rsidRDefault="00966EC2" w:rsidP="00A364AF">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98" w:type="dxa"/>
            <w:tcBorders>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single" w:sz="4" w:space="0" w:color="auto"/>
              <w:left w:val="single" w:sz="8" w:space="0" w:color="auto"/>
              <w:bottom w:val="single" w:sz="8" w:space="0" w:color="auto"/>
              <w:right w:val="single" w:sz="8" w:space="0" w:color="auto"/>
            </w:tcBorders>
            <w:shd w:val="clear" w:color="000000" w:fill="DCE6F1"/>
            <w:noWrap/>
            <w:vAlign w:val="center"/>
          </w:tcPr>
          <w:p w:rsidR="00966EC2" w:rsidRPr="00BB10D7" w:rsidRDefault="00966EC2" w:rsidP="00A364AF">
            <w:pPr>
              <w:rPr>
                <w:rFonts w:eastAsia="Times New Roman"/>
                <w:b/>
                <w:bCs/>
                <w:color w:val="000000"/>
                <w:sz w:val="20"/>
                <w:szCs w:val="20"/>
                <w:lang w:eastAsia="en-GB"/>
              </w:rPr>
            </w:pPr>
            <w:r>
              <w:rPr>
                <w:rFonts w:eastAsia="Times New Roman"/>
                <w:b/>
                <w:bCs/>
                <w:color w:val="000000"/>
                <w:sz w:val="20"/>
                <w:szCs w:val="20"/>
                <w:lang w:eastAsia="en-GB"/>
              </w:rPr>
              <w:t>Reason</w:t>
            </w:r>
          </w:p>
        </w:tc>
        <w:tc>
          <w:tcPr>
            <w:tcW w:w="1411" w:type="dxa"/>
            <w:tcBorders>
              <w:top w:val="single" w:sz="4" w:space="0" w:color="auto"/>
              <w:left w:val="nil"/>
              <w:bottom w:val="single" w:sz="8" w:space="0" w:color="auto"/>
              <w:right w:val="single" w:sz="8" w:space="0" w:color="auto"/>
            </w:tcBorders>
            <w:shd w:val="clear" w:color="000000" w:fill="DCE6F1"/>
            <w:noWrap/>
            <w:vAlign w:val="center"/>
          </w:tcPr>
          <w:p w:rsidR="00966EC2" w:rsidRPr="00BB10D7" w:rsidRDefault="00966EC2" w:rsidP="00A364AF">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128" w:type="dxa"/>
            <w:tcBorders>
              <w:top w:val="single" w:sz="4" w:space="0" w:color="auto"/>
              <w:left w:val="nil"/>
              <w:bottom w:val="single" w:sz="8" w:space="0" w:color="auto"/>
              <w:right w:val="single" w:sz="8" w:space="0" w:color="auto"/>
            </w:tcBorders>
            <w:shd w:val="clear" w:color="000000" w:fill="DCE6F1"/>
            <w:noWrap/>
            <w:vAlign w:val="center"/>
          </w:tcPr>
          <w:p w:rsidR="00966EC2" w:rsidRPr="00711CDA" w:rsidRDefault="00966EC2" w:rsidP="00A364AF">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c>
          <w:tcPr>
            <w:tcW w:w="257" w:type="dxa"/>
            <w:tcBorders>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single" w:sz="4" w:space="0" w:color="auto"/>
              <w:left w:val="single" w:sz="8" w:space="0" w:color="auto"/>
              <w:bottom w:val="single" w:sz="8" w:space="0" w:color="auto"/>
              <w:right w:val="single" w:sz="8" w:space="0" w:color="auto"/>
            </w:tcBorders>
            <w:shd w:val="clear" w:color="000000" w:fill="DCE6F1"/>
            <w:noWrap/>
            <w:vAlign w:val="center"/>
          </w:tcPr>
          <w:p w:rsidR="00966EC2" w:rsidRPr="00BB10D7" w:rsidRDefault="00966EC2" w:rsidP="00A364AF">
            <w:pPr>
              <w:rPr>
                <w:rFonts w:eastAsia="Times New Roman"/>
                <w:b/>
                <w:bCs/>
                <w:color w:val="000000"/>
                <w:sz w:val="20"/>
                <w:szCs w:val="20"/>
                <w:lang w:eastAsia="en-GB"/>
              </w:rPr>
            </w:pPr>
            <w:r>
              <w:rPr>
                <w:rFonts w:eastAsia="Times New Roman"/>
                <w:b/>
                <w:bCs/>
                <w:color w:val="000000"/>
                <w:sz w:val="20"/>
                <w:szCs w:val="20"/>
                <w:lang w:eastAsia="en-GB"/>
              </w:rPr>
              <w:t>Reason</w:t>
            </w:r>
          </w:p>
        </w:tc>
        <w:tc>
          <w:tcPr>
            <w:tcW w:w="1436" w:type="dxa"/>
            <w:tcBorders>
              <w:top w:val="single" w:sz="4" w:space="0" w:color="auto"/>
              <w:left w:val="nil"/>
              <w:bottom w:val="single" w:sz="8" w:space="0" w:color="auto"/>
              <w:right w:val="single" w:sz="8" w:space="0" w:color="auto"/>
            </w:tcBorders>
            <w:shd w:val="clear" w:color="000000" w:fill="DCE6F1"/>
            <w:noWrap/>
            <w:vAlign w:val="center"/>
          </w:tcPr>
          <w:p w:rsidR="00966EC2" w:rsidRPr="00BB10D7" w:rsidRDefault="00966EC2" w:rsidP="00A364AF">
            <w:pPr>
              <w:jc w:val="center"/>
              <w:rPr>
                <w:rFonts w:eastAsia="Times New Roman"/>
                <w:b/>
                <w:bCs/>
                <w:color w:val="000000"/>
                <w:sz w:val="20"/>
                <w:szCs w:val="20"/>
                <w:lang w:eastAsia="en-GB"/>
              </w:rPr>
            </w:pPr>
            <w:r w:rsidRPr="00BB10D7">
              <w:rPr>
                <w:rFonts w:eastAsia="Times New Roman"/>
                <w:b/>
                <w:bCs/>
                <w:color w:val="000000"/>
                <w:sz w:val="20"/>
                <w:szCs w:val="20"/>
                <w:lang w:eastAsia="en-GB"/>
              </w:rPr>
              <w:t>Percentage</w:t>
            </w:r>
          </w:p>
        </w:tc>
        <w:tc>
          <w:tcPr>
            <w:tcW w:w="1137" w:type="dxa"/>
            <w:tcBorders>
              <w:top w:val="single" w:sz="4" w:space="0" w:color="auto"/>
              <w:left w:val="nil"/>
              <w:bottom w:val="single" w:sz="8" w:space="0" w:color="auto"/>
              <w:right w:val="single" w:sz="8" w:space="0" w:color="auto"/>
            </w:tcBorders>
            <w:shd w:val="clear" w:color="000000" w:fill="DCE6F1"/>
            <w:noWrap/>
            <w:vAlign w:val="center"/>
          </w:tcPr>
          <w:p w:rsidR="00966EC2" w:rsidRPr="00711CDA" w:rsidRDefault="00966EC2" w:rsidP="00A364AF">
            <w:pPr>
              <w:jc w:val="center"/>
              <w:rPr>
                <w:rFonts w:eastAsia="Times New Roman"/>
                <w:b/>
                <w:bCs/>
                <w:color w:val="000000"/>
                <w:sz w:val="20"/>
                <w:szCs w:val="20"/>
                <w:lang w:eastAsia="en-GB"/>
              </w:rPr>
            </w:pPr>
            <w:r w:rsidRPr="00711CDA">
              <w:rPr>
                <w:rFonts w:eastAsia="Times New Roman"/>
                <w:b/>
                <w:bCs/>
                <w:color w:val="000000"/>
                <w:sz w:val="20"/>
                <w:szCs w:val="20"/>
                <w:lang w:eastAsia="en-GB"/>
              </w:rPr>
              <w:t>Number</w:t>
            </w:r>
          </w:p>
        </w:tc>
      </w:tr>
      <w:tr w:rsidR="00966EC2" w:rsidRPr="00BB10D7" w:rsidTr="009618F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Died in Service</w:t>
            </w:r>
          </w:p>
        </w:tc>
        <w:tc>
          <w:tcPr>
            <w:tcW w:w="1433"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2.01</w:t>
            </w:r>
          </w:p>
        </w:tc>
        <w:tc>
          <w:tcPr>
            <w:tcW w:w="105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4</w:t>
            </w: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Died in Service</w:t>
            </w:r>
          </w:p>
        </w:tc>
        <w:tc>
          <w:tcPr>
            <w:tcW w:w="1411"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0.88</w:t>
            </w:r>
          </w:p>
        </w:tc>
        <w:tc>
          <w:tcPr>
            <w:tcW w:w="112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Died in Service</w:t>
            </w:r>
          </w:p>
        </w:tc>
        <w:tc>
          <w:tcPr>
            <w:tcW w:w="1436"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0.66</w:t>
            </w:r>
          </w:p>
        </w:tc>
        <w:tc>
          <w:tcPr>
            <w:tcW w:w="1137"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w:t>
            </w:r>
          </w:p>
        </w:tc>
      </w:tr>
      <w:tr w:rsidR="00966EC2" w:rsidRPr="00BB10D7" w:rsidTr="009618F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End of Fixed Term Contract</w:t>
            </w:r>
          </w:p>
        </w:tc>
        <w:tc>
          <w:tcPr>
            <w:tcW w:w="1433"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14.07</w:t>
            </w:r>
          </w:p>
        </w:tc>
        <w:tc>
          <w:tcPr>
            <w:tcW w:w="105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28</w:t>
            </w: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Dismissal – Attendance</w:t>
            </w:r>
          </w:p>
        </w:tc>
        <w:tc>
          <w:tcPr>
            <w:tcW w:w="1411"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1.77</w:t>
            </w:r>
          </w:p>
        </w:tc>
        <w:tc>
          <w:tcPr>
            <w:tcW w:w="112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2</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Dismissal – Attendance</w:t>
            </w:r>
          </w:p>
        </w:tc>
        <w:tc>
          <w:tcPr>
            <w:tcW w:w="1436"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3.31</w:t>
            </w:r>
          </w:p>
        </w:tc>
        <w:tc>
          <w:tcPr>
            <w:tcW w:w="1137"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5</w:t>
            </w:r>
          </w:p>
        </w:tc>
      </w:tr>
      <w:tr w:rsidR="00966EC2" w:rsidRPr="00BB10D7" w:rsidTr="009618F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Failed Probation</w:t>
            </w:r>
          </w:p>
        </w:tc>
        <w:tc>
          <w:tcPr>
            <w:tcW w:w="1433"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1.51</w:t>
            </w:r>
          </w:p>
        </w:tc>
        <w:tc>
          <w:tcPr>
            <w:tcW w:w="105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3</w:t>
            </w: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End of Fixed Term Contract</w:t>
            </w:r>
          </w:p>
        </w:tc>
        <w:tc>
          <w:tcPr>
            <w:tcW w:w="1411"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5.31</w:t>
            </w:r>
          </w:p>
        </w:tc>
        <w:tc>
          <w:tcPr>
            <w:tcW w:w="112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6</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End of Fixed Term Contract</w:t>
            </w:r>
          </w:p>
        </w:tc>
        <w:tc>
          <w:tcPr>
            <w:tcW w:w="1436"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7.95</w:t>
            </w:r>
          </w:p>
        </w:tc>
        <w:tc>
          <w:tcPr>
            <w:tcW w:w="1137"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12</w:t>
            </w:r>
          </w:p>
        </w:tc>
      </w:tr>
      <w:tr w:rsidR="00966EC2" w:rsidRPr="00BB10D7" w:rsidTr="009618F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Mutually Agreed Termination &amp; Redundancy (with Severance Payment)</w:t>
            </w:r>
          </w:p>
        </w:tc>
        <w:tc>
          <w:tcPr>
            <w:tcW w:w="1433"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3.52</w:t>
            </w:r>
          </w:p>
        </w:tc>
        <w:tc>
          <w:tcPr>
            <w:tcW w:w="105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7</w:t>
            </w: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End of Fixed Term Contract (with Redundancy Payment</w:t>
            </w:r>
          </w:p>
        </w:tc>
        <w:tc>
          <w:tcPr>
            <w:tcW w:w="1411"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0.88</w:t>
            </w:r>
          </w:p>
        </w:tc>
        <w:tc>
          <w:tcPr>
            <w:tcW w:w="112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Failed Probation</w:t>
            </w:r>
          </w:p>
        </w:tc>
        <w:tc>
          <w:tcPr>
            <w:tcW w:w="1436"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1.98</w:t>
            </w:r>
          </w:p>
        </w:tc>
        <w:tc>
          <w:tcPr>
            <w:tcW w:w="1137"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3</w:t>
            </w:r>
          </w:p>
        </w:tc>
      </w:tr>
      <w:tr w:rsidR="00966EC2" w:rsidRPr="00BB10D7" w:rsidTr="009618F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Relocation</w:t>
            </w:r>
          </w:p>
        </w:tc>
        <w:tc>
          <w:tcPr>
            <w:tcW w:w="1433"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69.34</w:t>
            </w:r>
          </w:p>
        </w:tc>
        <w:tc>
          <w:tcPr>
            <w:tcW w:w="105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138</w:t>
            </w: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Mutually Agreed Termination</w:t>
            </w:r>
          </w:p>
        </w:tc>
        <w:tc>
          <w:tcPr>
            <w:tcW w:w="1411"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7.96</w:t>
            </w:r>
          </w:p>
        </w:tc>
        <w:tc>
          <w:tcPr>
            <w:tcW w:w="112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9</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Mutually Agreed Termination</w:t>
            </w:r>
          </w:p>
        </w:tc>
        <w:tc>
          <w:tcPr>
            <w:tcW w:w="1436"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2.65</w:t>
            </w:r>
          </w:p>
        </w:tc>
        <w:tc>
          <w:tcPr>
            <w:tcW w:w="1137"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4</w:t>
            </w:r>
          </w:p>
        </w:tc>
      </w:tr>
      <w:tr w:rsidR="00966EC2" w:rsidRPr="00BB10D7" w:rsidTr="009618F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Retirement</w:t>
            </w:r>
          </w:p>
        </w:tc>
        <w:tc>
          <w:tcPr>
            <w:tcW w:w="1433"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8.04</w:t>
            </w:r>
          </w:p>
        </w:tc>
        <w:tc>
          <w:tcPr>
            <w:tcW w:w="105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16</w:t>
            </w: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Redundancy (with Severance Payment)</w:t>
            </w:r>
          </w:p>
        </w:tc>
        <w:tc>
          <w:tcPr>
            <w:tcW w:w="1411"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0.88</w:t>
            </w:r>
          </w:p>
        </w:tc>
        <w:tc>
          <w:tcPr>
            <w:tcW w:w="112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Career Development</w:t>
            </w:r>
          </w:p>
        </w:tc>
        <w:tc>
          <w:tcPr>
            <w:tcW w:w="1436"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4.64</w:t>
            </w:r>
          </w:p>
        </w:tc>
        <w:tc>
          <w:tcPr>
            <w:tcW w:w="1137"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7</w:t>
            </w:r>
          </w:p>
        </w:tc>
      </w:tr>
      <w:tr w:rsidR="00966EC2" w:rsidRPr="00BB10D7" w:rsidTr="009618F2">
        <w:trPr>
          <w:trHeight w:val="315"/>
        </w:trPr>
        <w:tc>
          <w:tcPr>
            <w:tcW w:w="2239"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Retirement (Ill Health - Tier 1)</w:t>
            </w:r>
          </w:p>
        </w:tc>
        <w:tc>
          <w:tcPr>
            <w:tcW w:w="1433"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1.51</w:t>
            </w:r>
          </w:p>
        </w:tc>
        <w:tc>
          <w:tcPr>
            <w:tcW w:w="105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3</w:t>
            </w: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Career Development</w:t>
            </w:r>
          </w:p>
        </w:tc>
        <w:tc>
          <w:tcPr>
            <w:tcW w:w="1411"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8.85</w:t>
            </w:r>
          </w:p>
        </w:tc>
        <w:tc>
          <w:tcPr>
            <w:tcW w:w="112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10</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Improved Pay/Benefits</w:t>
            </w:r>
          </w:p>
        </w:tc>
        <w:tc>
          <w:tcPr>
            <w:tcW w:w="1436"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0.66</w:t>
            </w:r>
          </w:p>
        </w:tc>
        <w:tc>
          <w:tcPr>
            <w:tcW w:w="1137"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w:t>
            </w:r>
          </w:p>
        </w:tc>
      </w:tr>
      <w:tr w:rsidR="00966EC2" w:rsidRPr="00BB10D7" w:rsidTr="009618F2">
        <w:trPr>
          <w:trHeight w:val="315"/>
        </w:trPr>
        <w:tc>
          <w:tcPr>
            <w:tcW w:w="2239"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966EC2" w:rsidRPr="00966EC2" w:rsidRDefault="00966EC2" w:rsidP="00A364AF">
            <w:pPr>
              <w:rPr>
                <w:rFonts w:eastAsia="Times New Roman"/>
                <w:b/>
                <w:color w:val="000000"/>
                <w:sz w:val="20"/>
                <w:szCs w:val="20"/>
                <w:lang w:eastAsia="en-GB"/>
              </w:rPr>
            </w:pPr>
            <w:r w:rsidRPr="00966EC2">
              <w:rPr>
                <w:rFonts w:eastAsia="Times New Roman"/>
                <w:b/>
                <w:color w:val="000000"/>
                <w:sz w:val="20"/>
                <w:szCs w:val="20"/>
                <w:lang w:eastAsia="en-GB"/>
              </w:rPr>
              <w:t>Total</w:t>
            </w:r>
          </w:p>
        </w:tc>
        <w:tc>
          <w:tcPr>
            <w:tcW w:w="1433"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966EC2" w:rsidRPr="00BB10D7" w:rsidRDefault="00966EC2" w:rsidP="00A364AF">
            <w:pPr>
              <w:jc w:val="center"/>
              <w:rPr>
                <w:rFonts w:eastAsia="Times New Roman"/>
                <w:color w:val="000000"/>
                <w:sz w:val="20"/>
                <w:szCs w:val="20"/>
                <w:lang w:eastAsia="en-GB"/>
              </w:rPr>
            </w:pPr>
            <w:r w:rsidRPr="00711CDA">
              <w:rPr>
                <w:rFonts w:eastAsia="Times New Roman"/>
                <w:b/>
                <w:bCs/>
                <w:color w:val="000000"/>
                <w:sz w:val="20"/>
                <w:szCs w:val="20"/>
                <w:lang w:eastAsia="en-GB"/>
              </w:rPr>
              <w:t>100</w:t>
            </w:r>
            <w:r>
              <w:rPr>
                <w:rFonts w:eastAsia="Times New Roman"/>
                <w:b/>
                <w:bCs/>
                <w:color w:val="000000"/>
                <w:sz w:val="20"/>
                <w:szCs w:val="20"/>
                <w:lang w:eastAsia="en-GB"/>
              </w:rPr>
              <w:t>%</w:t>
            </w:r>
          </w:p>
        </w:tc>
        <w:tc>
          <w:tcPr>
            <w:tcW w:w="1058"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966EC2" w:rsidRPr="00361A62" w:rsidRDefault="00966EC2" w:rsidP="00A364AF">
            <w:pPr>
              <w:jc w:val="center"/>
              <w:rPr>
                <w:rFonts w:eastAsia="Times New Roman"/>
                <w:b/>
                <w:color w:val="000000"/>
                <w:sz w:val="20"/>
                <w:szCs w:val="20"/>
                <w:lang w:eastAsia="en-GB"/>
              </w:rPr>
            </w:pPr>
            <w:r w:rsidRPr="00361A62">
              <w:rPr>
                <w:rFonts w:eastAsia="Times New Roman"/>
                <w:b/>
                <w:color w:val="000000"/>
                <w:sz w:val="20"/>
                <w:szCs w:val="20"/>
                <w:lang w:eastAsia="en-GB"/>
              </w:rPr>
              <w:t>199</w:t>
            </w: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Improved Pay/Benefits</w:t>
            </w:r>
          </w:p>
        </w:tc>
        <w:tc>
          <w:tcPr>
            <w:tcW w:w="1411"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0.88</w:t>
            </w:r>
          </w:p>
        </w:tc>
        <w:tc>
          <w:tcPr>
            <w:tcW w:w="112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Other</w:t>
            </w:r>
          </w:p>
        </w:tc>
        <w:tc>
          <w:tcPr>
            <w:tcW w:w="1436"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67.55</w:t>
            </w:r>
          </w:p>
        </w:tc>
        <w:tc>
          <w:tcPr>
            <w:tcW w:w="1137"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102</w:t>
            </w:r>
          </w:p>
        </w:tc>
      </w:tr>
      <w:tr w:rsidR="00966EC2" w:rsidRPr="00BB10D7" w:rsidTr="009618F2">
        <w:trPr>
          <w:trHeight w:val="315"/>
        </w:trPr>
        <w:tc>
          <w:tcPr>
            <w:tcW w:w="2239" w:type="dxa"/>
            <w:tcBorders>
              <w:top w:val="single" w:sz="8" w:space="0" w:color="auto"/>
            </w:tcBorders>
            <w:shd w:val="clear" w:color="auto" w:fill="auto"/>
            <w:noWrap/>
            <w:vAlign w:val="center"/>
          </w:tcPr>
          <w:p w:rsidR="00966EC2" w:rsidRPr="00BB10D7" w:rsidRDefault="00966EC2" w:rsidP="00A364AF">
            <w:pPr>
              <w:rPr>
                <w:rFonts w:eastAsia="Times New Roman"/>
                <w:color w:val="000000"/>
                <w:sz w:val="20"/>
                <w:szCs w:val="20"/>
                <w:lang w:eastAsia="en-GB"/>
              </w:rPr>
            </w:pPr>
          </w:p>
        </w:tc>
        <w:tc>
          <w:tcPr>
            <w:tcW w:w="1433" w:type="dxa"/>
            <w:tcBorders>
              <w:top w:val="single" w:sz="8" w:space="0" w:color="auto"/>
            </w:tcBorders>
            <w:shd w:val="clear" w:color="auto" w:fill="auto"/>
            <w:noWrap/>
            <w:vAlign w:val="center"/>
          </w:tcPr>
          <w:p w:rsidR="00966EC2" w:rsidRPr="00BB10D7" w:rsidRDefault="00966EC2" w:rsidP="00A364AF">
            <w:pPr>
              <w:jc w:val="center"/>
              <w:rPr>
                <w:rFonts w:eastAsia="Times New Roman"/>
                <w:color w:val="000000"/>
                <w:sz w:val="20"/>
                <w:szCs w:val="20"/>
                <w:lang w:eastAsia="en-GB"/>
              </w:rPr>
            </w:pPr>
          </w:p>
        </w:tc>
        <w:tc>
          <w:tcPr>
            <w:tcW w:w="1058" w:type="dxa"/>
            <w:tcBorders>
              <w:top w:val="single" w:sz="8" w:space="0" w:color="auto"/>
            </w:tcBorders>
            <w:shd w:val="clear" w:color="auto" w:fill="auto"/>
            <w:noWrap/>
            <w:vAlign w:val="center"/>
          </w:tcPr>
          <w:p w:rsidR="00966EC2" w:rsidRPr="00BB10D7" w:rsidRDefault="00966EC2" w:rsidP="00A364AF">
            <w:pPr>
              <w:jc w:val="center"/>
              <w:rPr>
                <w:rFonts w:eastAsia="Times New Roman"/>
                <w:color w:val="000000"/>
                <w:sz w:val="20"/>
                <w:szCs w:val="20"/>
                <w:lang w:eastAsia="en-GB"/>
              </w:rPr>
            </w:pP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Other</w:t>
            </w:r>
          </w:p>
        </w:tc>
        <w:tc>
          <w:tcPr>
            <w:tcW w:w="1411"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66.37</w:t>
            </w:r>
          </w:p>
        </w:tc>
        <w:tc>
          <w:tcPr>
            <w:tcW w:w="112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75</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Relocation</w:t>
            </w:r>
          </w:p>
        </w:tc>
        <w:tc>
          <w:tcPr>
            <w:tcW w:w="1436"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2.65</w:t>
            </w:r>
          </w:p>
        </w:tc>
        <w:tc>
          <w:tcPr>
            <w:tcW w:w="1137"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4</w:t>
            </w:r>
          </w:p>
        </w:tc>
      </w:tr>
      <w:tr w:rsidR="00966EC2" w:rsidRPr="00BB10D7" w:rsidTr="009618F2">
        <w:trPr>
          <w:trHeight w:val="315"/>
        </w:trPr>
        <w:tc>
          <w:tcPr>
            <w:tcW w:w="2239" w:type="dxa"/>
            <w:tcBorders>
              <w:top w:val="nil"/>
            </w:tcBorders>
            <w:shd w:val="clear" w:color="auto" w:fill="auto"/>
            <w:noWrap/>
            <w:vAlign w:val="center"/>
          </w:tcPr>
          <w:p w:rsidR="00966EC2" w:rsidRPr="00BB10D7" w:rsidRDefault="00966EC2" w:rsidP="00A364AF">
            <w:pPr>
              <w:rPr>
                <w:rFonts w:eastAsia="Times New Roman"/>
                <w:color w:val="000000"/>
                <w:sz w:val="20"/>
                <w:szCs w:val="20"/>
                <w:lang w:eastAsia="en-GB"/>
              </w:rPr>
            </w:pPr>
          </w:p>
        </w:tc>
        <w:tc>
          <w:tcPr>
            <w:tcW w:w="1433" w:type="dxa"/>
            <w:tcBorders>
              <w:top w:val="nil"/>
            </w:tcBorders>
            <w:shd w:val="clear" w:color="auto" w:fill="auto"/>
            <w:noWrap/>
            <w:vAlign w:val="center"/>
          </w:tcPr>
          <w:p w:rsidR="00966EC2" w:rsidRPr="00BB10D7" w:rsidRDefault="00966EC2" w:rsidP="00A364AF">
            <w:pPr>
              <w:jc w:val="center"/>
              <w:rPr>
                <w:rFonts w:eastAsia="Times New Roman"/>
                <w:color w:val="000000"/>
                <w:sz w:val="20"/>
                <w:szCs w:val="20"/>
                <w:lang w:eastAsia="en-GB"/>
              </w:rPr>
            </w:pPr>
          </w:p>
        </w:tc>
        <w:tc>
          <w:tcPr>
            <w:tcW w:w="1058" w:type="dxa"/>
            <w:tcBorders>
              <w:top w:val="nil"/>
            </w:tcBorders>
            <w:shd w:val="clear" w:color="auto" w:fill="auto"/>
            <w:noWrap/>
            <w:vAlign w:val="center"/>
          </w:tcPr>
          <w:p w:rsidR="00966EC2" w:rsidRPr="00BB10D7" w:rsidRDefault="00966EC2" w:rsidP="00A364AF">
            <w:pPr>
              <w:jc w:val="center"/>
              <w:rPr>
                <w:rFonts w:eastAsia="Times New Roman"/>
                <w:color w:val="000000"/>
                <w:sz w:val="20"/>
                <w:szCs w:val="20"/>
                <w:lang w:eastAsia="en-GB"/>
              </w:rPr>
            </w:pPr>
          </w:p>
        </w:tc>
        <w:tc>
          <w:tcPr>
            <w:tcW w:w="298" w:type="dxa"/>
            <w:tcBorders>
              <w:top w:val="nil"/>
              <w:left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Relocation</w:t>
            </w:r>
          </w:p>
        </w:tc>
        <w:tc>
          <w:tcPr>
            <w:tcW w:w="1411"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1.77</w:t>
            </w:r>
          </w:p>
        </w:tc>
        <w:tc>
          <w:tcPr>
            <w:tcW w:w="1128"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2</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nil"/>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Retirement</w:t>
            </w:r>
          </w:p>
        </w:tc>
        <w:tc>
          <w:tcPr>
            <w:tcW w:w="1436"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4.64</w:t>
            </w:r>
          </w:p>
        </w:tc>
        <w:tc>
          <w:tcPr>
            <w:tcW w:w="1137" w:type="dxa"/>
            <w:tcBorders>
              <w:top w:val="nil"/>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7</w:t>
            </w:r>
          </w:p>
        </w:tc>
      </w:tr>
      <w:tr w:rsidR="00966EC2" w:rsidRPr="00BB10D7" w:rsidTr="009618F2">
        <w:trPr>
          <w:trHeight w:val="315"/>
        </w:trPr>
        <w:tc>
          <w:tcPr>
            <w:tcW w:w="2239" w:type="dxa"/>
            <w:tcBorders>
              <w:top w:val="nil"/>
              <w:bottom w:val="nil"/>
            </w:tcBorders>
            <w:shd w:val="clear" w:color="auto" w:fill="auto"/>
            <w:noWrap/>
            <w:vAlign w:val="center"/>
          </w:tcPr>
          <w:p w:rsidR="00966EC2" w:rsidRPr="00BB10D7" w:rsidRDefault="00966EC2" w:rsidP="00A364AF">
            <w:pPr>
              <w:rPr>
                <w:rFonts w:eastAsia="Times New Roman"/>
                <w:color w:val="000000"/>
                <w:sz w:val="20"/>
                <w:szCs w:val="20"/>
                <w:lang w:eastAsia="en-GB"/>
              </w:rPr>
            </w:pPr>
          </w:p>
        </w:tc>
        <w:tc>
          <w:tcPr>
            <w:tcW w:w="1433" w:type="dxa"/>
            <w:tcBorders>
              <w:top w:val="nil"/>
              <w:bottom w:val="nil"/>
            </w:tcBorders>
            <w:shd w:val="clear" w:color="auto" w:fill="auto"/>
            <w:noWrap/>
            <w:vAlign w:val="center"/>
          </w:tcPr>
          <w:p w:rsidR="00966EC2" w:rsidRPr="00BB10D7" w:rsidRDefault="00966EC2" w:rsidP="00A364AF">
            <w:pPr>
              <w:jc w:val="center"/>
              <w:rPr>
                <w:rFonts w:eastAsia="Times New Roman"/>
                <w:color w:val="000000"/>
                <w:sz w:val="20"/>
                <w:szCs w:val="20"/>
                <w:lang w:eastAsia="en-GB"/>
              </w:rPr>
            </w:pPr>
          </w:p>
        </w:tc>
        <w:tc>
          <w:tcPr>
            <w:tcW w:w="1058" w:type="dxa"/>
            <w:tcBorders>
              <w:top w:val="nil"/>
              <w:bottom w:val="nil"/>
            </w:tcBorders>
            <w:shd w:val="clear" w:color="auto" w:fill="auto"/>
            <w:noWrap/>
            <w:vAlign w:val="center"/>
          </w:tcPr>
          <w:p w:rsidR="00966EC2" w:rsidRPr="00BB10D7" w:rsidRDefault="00966EC2" w:rsidP="00A364AF">
            <w:pPr>
              <w:jc w:val="center"/>
              <w:rPr>
                <w:rFonts w:eastAsia="Times New Roman"/>
                <w:color w:val="000000"/>
                <w:sz w:val="20"/>
                <w:szCs w:val="20"/>
                <w:lang w:eastAsia="en-GB"/>
              </w:rPr>
            </w:pP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Resignation – Retirement</w:t>
            </w:r>
          </w:p>
        </w:tc>
        <w:tc>
          <w:tcPr>
            <w:tcW w:w="1411" w:type="dxa"/>
            <w:tcBorders>
              <w:top w:val="single" w:sz="8" w:space="0" w:color="auto"/>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4.42</w:t>
            </w:r>
          </w:p>
        </w:tc>
        <w:tc>
          <w:tcPr>
            <w:tcW w:w="1128" w:type="dxa"/>
            <w:tcBorders>
              <w:top w:val="single" w:sz="8" w:space="0" w:color="auto"/>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5</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Retirement – Ill Health Tier 1</w:t>
            </w:r>
          </w:p>
        </w:tc>
        <w:tc>
          <w:tcPr>
            <w:tcW w:w="1436" w:type="dxa"/>
            <w:tcBorders>
              <w:top w:val="single" w:sz="8" w:space="0" w:color="auto"/>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2.65</w:t>
            </w:r>
          </w:p>
        </w:tc>
        <w:tc>
          <w:tcPr>
            <w:tcW w:w="1137" w:type="dxa"/>
            <w:tcBorders>
              <w:top w:val="single" w:sz="8" w:space="0" w:color="auto"/>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4</w:t>
            </w:r>
          </w:p>
        </w:tc>
      </w:tr>
      <w:tr w:rsidR="00966EC2" w:rsidRPr="00BB10D7" w:rsidTr="009618F2">
        <w:trPr>
          <w:trHeight w:val="315"/>
        </w:trPr>
        <w:tc>
          <w:tcPr>
            <w:tcW w:w="2239" w:type="dxa"/>
            <w:tcBorders>
              <w:top w:val="nil"/>
              <w:bottom w:val="nil"/>
            </w:tcBorders>
            <w:shd w:val="clear" w:color="auto" w:fill="auto"/>
            <w:noWrap/>
            <w:vAlign w:val="center"/>
          </w:tcPr>
          <w:p w:rsidR="00966EC2" w:rsidRPr="00BB10D7" w:rsidRDefault="00966EC2" w:rsidP="00A364AF">
            <w:pPr>
              <w:rPr>
                <w:rFonts w:eastAsia="Times New Roman"/>
                <w:color w:val="000000"/>
                <w:sz w:val="20"/>
                <w:szCs w:val="20"/>
                <w:lang w:eastAsia="en-GB"/>
              </w:rPr>
            </w:pPr>
          </w:p>
        </w:tc>
        <w:tc>
          <w:tcPr>
            <w:tcW w:w="1433" w:type="dxa"/>
            <w:tcBorders>
              <w:top w:val="nil"/>
              <w:bottom w:val="nil"/>
            </w:tcBorders>
            <w:shd w:val="clear" w:color="auto" w:fill="auto"/>
            <w:noWrap/>
            <w:vAlign w:val="center"/>
          </w:tcPr>
          <w:p w:rsidR="00966EC2" w:rsidRPr="00BB10D7" w:rsidRDefault="00966EC2" w:rsidP="00A364AF">
            <w:pPr>
              <w:jc w:val="center"/>
              <w:rPr>
                <w:rFonts w:eastAsia="Times New Roman"/>
                <w:color w:val="000000"/>
                <w:sz w:val="20"/>
                <w:szCs w:val="20"/>
                <w:lang w:eastAsia="en-GB"/>
              </w:rPr>
            </w:pPr>
          </w:p>
        </w:tc>
        <w:tc>
          <w:tcPr>
            <w:tcW w:w="1058" w:type="dxa"/>
            <w:tcBorders>
              <w:top w:val="nil"/>
              <w:bottom w:val="nil"/>
            </w:tcBorders>
            <w:shd w:val="clear" w:color="auto" w:fill="auto"/>
            <w:noWrap/>
            <w:vAlign w:val="center"/>
          </w:tcPr>
          <w:p w:rsidR="00966EC2" w:rsidRPr="00BB10D7" w:rsidRDefault="00966EC2" w:rsidP="00A364AF">
            <w:pPr>
              <w:jc w:val="center"/>
              <w:rPr>
                <w:rFonts w:eastAsia="Times New Roman"/>
                <w:color w:val="000000"/>
                <w:sz w:val="20"/>
                <w:szCs w:val="20"/>
                <w:lang w:eastAsia="en-GB"/>
              </w:rPr>
            </w:pPr>
          </w:p>
        </w:tc>
        <w:tc>
          <w:tcPr>
            <w:tcW w:w="298"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966EC2" w:rsidRDefault="00966EC2" w:rsidP="00DA02BE">
            <w:pPr>
              <w:rPr>
                <w:b/>
                <w:bCs/>
                <w:color w:val="000000"/>
                <w:sz w:val="20"/>
                <w:szCs w:val="20"/>
              </w:rPr>
            </w:pPr>
            <w:r>
              <w:rPr>
                <w:b/>
                <w:bCs/>
                <w:color w:val="000000"/>
                <w:sz w:val="20"/>
                <w:szCs w:val="20"/>
              </w:rPr>
              <w:t>Total</w:t>
            </w:r>
          </w:p>
        </w:tc>
        <w:tc>
          <w:tcPr>
            <w:tcW w:w="1411"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966EC2" w:rsidRPr="00966EC2" w:rsidRDefault="00966EC2" w:rsidP="00DA02BE">
            <w:pPr>
              <w:jc w:val="center"/>
              <w:rPr>
                <w:rFonts w:eastAsia="Times New Roman"/>
                <w:b/>
                <w:color w:val="000000"/>
                <w:sz w:val="20"/>
                <w:szCs w:val="20"/>
                <w:lang w:eastAsia="en-GB"/>
              </w:rPr>
            </w:pPr>
            <w:r w:rsidRPr="00966EC2">
              <w:rPr>
                <w:rFonts w:eastAsia="Times New Roman"/>
                <w:b/>
                <w:color w:val="000000"/>
                <w:sz w:val="20"/>
                <w:szCs w:val="20"/>
                <w:lang w:eastAsia="en-GB"/>
              </w:rPr>
              <w:t>100%</w:t>
            </w:r>
          </w:p>
        </w:tc>
        <w:tc>
          <w:tcPr>
            <w:tcW w:w="1128"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966EC2" w:rsidRPr="00BB10D7" w:rsidRDefault="00966EC2" w:rsidP="00DA02BE">
            <w:pPr>
              <w:jc w:val="center"/>
              <w:rPr>
                <w:rFonts w:eastAsia="Times New Roman"/>
                <w:color w:val="000000"/>
                <w:sz w:val="20"/>
                <w:szCs w:val="20"/>
                <w:lang w:eastAsia="en-GB"/>
              </w:rPr>
            </w:pPr>
            <w:r>
              <w:rPr>
                <w:rFonts w:eastAsia="Times New Roman"/>
                <w:b/>
                <w:bCs/>
                <w:color w:val="000000"/>
                <w:sz w:val="20"/>
                <w:szCs w:val="20"/>
                <w:lang w:eastAsia="en-GB"/>
              </w:rPr>
              <w:t>113</w:t>
            </w: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966EC2" w:rsidRDefault="00966EC2">
            <w:pPr>
              <w:rPr>
                <w:color w:val="000000"/>
                <w:sz w:val="20"/>
                <w:szCs w:val="20"/>
              </w:rPr>
            </w:pPr>
            <w:r>
              <w:rPr>
                <w:color w:val="000000"/>
                <w:sz w:val="20"/>
                <w:szCs w:val="20"/>
              </w:rPr>
              <w:t>Retirement – Ill Health Tier 2</w:t>
            </w:r>
          </w:p>
        </w:tc>
        <w:tc>
          <w:tcPr>
            <w:tcW w:w="1436" w:type="dxa"/>
            <w:tcBorders>
              <w:top w:val="single" w:sz="8" w:space="0" w:color="auto"/>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0.66</w:t>
            </w:r>
          </w:p>
        </w:tc>
        <w:tc>
          <w:tcPr>
            <w:tcW w:w="1137" w:type="dxa"/>
            <w:tcBorders>
              <w:top w:val="single" w:sz="8" w:space="0" w:color="auto"/>
              <w:left w:val="nil"/>
              <w:bottom w:val="single" w:sz="8" w:space="0" w:color="auto"/>
              <w:right w:val="single" w:sz="8" w:space="0" w:color="auto"/>
            </w:tcBorders>
            <w:shd w:val="clear" w:color="auto" w:fill="auto"/>
            <w:noWrap/>
            <w:vAlign w:val="center"/>
          </w:tcPr>
          <w:p w:rsidR="00966EC2" w:rsidRDefault="00966EC2">
            <w:pPr>
              <w:jc w:val="center"/>
              <w:rPr>
                <w:color w:val="000000"/>
                <w:sz w:val="20"/>
                <w:szCs w:val="20"/>
              </w:rPr>
            </w:pPr>
            <w:r>
              <w:rPr>
                <w:color w:val="000000"/>
                <w:sz w:val="20"/>
                <w:szCs w:val="20"/>
              </w:rPr>
              <w:t>1</w:t>
            </w:r>
          </w:p>
        </w:tc>
      </w:tr>
      <w:tr w:rsidR="00966EC2" w:rsidRPr="00BB10D7" w:rsidTr="009618F2">
        <w:trPr>
          <w:trHeight w:val="315"/>
        </w:trPr>
        <w:tc>
          <w:tcPr>
            <w:tcW w:w="2239" w:type="dxa"/>
            <w:tcBorders>
              <w:top w:val="nil"/>
              <w:bottom w:val="nil"/>
            </w:tcBorders>
            <w:shd w:val="clear" w:color="auto" w:fill="auto"/>
            <w:noWrap/>
            <w:vAlign w:val="center"/>
          </w:tcPr>
          <w:p w:rsidR="00966EC2" w:rsidRPr="00BB10D7" w:rsidRDefault="00966EC2" w:rsidP="00A364AF">
            <w:pPr>
              <w:rPr>
                <w:rFonts w:eastAsia="Times New Roman"/>
                <w:color w:val="000000"/>
                <w:sz w:val="20"/>
                <w:szCs w:val="20"/>
                <w:lang w:eastAsia="en-GB"/>
              </w:rPr>
            </w:pPr>
          </w:p>
        </w:tc>
        <w:tc>
          <w:tcPr>
            <w:tcW w:w="1433" w:type="dxa"/>
            <w:tcBorders>
              <w:top w:val="nil"/>
              <w:bottom w:val="nil"/>
            </w:tcBorders>
            <w:shd w:val="clear" w:color="auto" w:fill="auto"/>
            <w:noWrap/>
            <w:vAlign w:val="center"/>
          </w:tcPr>
          <w:p w:rsidR="00966EC2" w:rsidRPr="00BB10D7" w:rsidRDefault="00966EC2" w:rsidP="00A364AF">
            <w:pPr>
              <w:jc w:val="center"/>
              <w:rPr>
                <w:rFonts w:eastAsia="Times New Roman"/>
                <w:color w:val="000000"/>
                <w:sz w:val="20"/>
                <w:szCs w:val="20"/>
                <w:lang w:eastAsia="en-GB"/>
              </w:rPr>
            </w:pPr>
          </w:p>
        </w:tc>
        <w:tc>
          <w:tcPr>
            <w:tcW w:w="1058" w:type="dxa"/>
            <w:tcBorders>
              <w:top w:val="nil"/>
              <w:bottom w:val="nil"/>
            </w:tcBorders>
            <w:shd w:val="clear" w:color="auto" w:fill="auto"/>
            <w:noWrap/>
            <w:vAlign w:val="center"/>
          </w:tcPr>
          <w:p w:rsidR="00966EC2" w:rsidRPr="00BB10D7" w:rsidRDefault="00966EC2" w:rsidP="00A364AF">
            <w:pPr>
              <w:jc w:val="center"/>
              <w:rPr>
                <w:rFonts w:eastAsia="Times New Roman"/>
                <w:color w:val="000000"/>
                <w:sz w:val="20"/>
                <w:szCs w:val="20"/>
                <w:lang w:eastAsia="en-GB"/>
              </w:rPr>
            </w:pPr>
          </w:p>
        </w:tc>
        <w:tc>
          <w:tcPr>
            <w:tcW w:w="298" w:type="dxa"/>
            <w:tcBorders>
              <w:top w:val="nil"/>
              <w:left w:val="nil"/>
              <w:bottom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322" w:type="dxa"/>
            <w:tcBorders>
              <w:top w:val="single" w:sz="8" w:space="0" w:color="auto"/>
            </w:tcBorders>
            <w:shd w:val="clear" w:color="auto" w:fill="auto"/>
            <w:noWrap/>
            <w:vAlign w:val="center"/>
          </w:tcPr>
          <w:p w:rsidR="00966EC2" w:rsidRDefault="00966EC2">
            <w:pPr>
              <w:rPr>
                <w:b/>
                <w:bCs/>
                <w:color w:val="000000"/>
                <w:sz w:val="20"/>
                <w:szCs w:val="20"/>
              </w:rPr>
            </w:pPr>
          </w:p>
        </w:tc>
        <w:tc>
          <w:tcPr>
            <w:tcW w:w="1411" w:type="dxa"/>
            <w:tcBorders>
              <w:top w:val="single" w:sz="8" w:space="0" w:color="auto"/>
            </w:tcBorders>
            <w:shd w:val="clear" w:color="auto" w:fill="auto"/>
            <w:noWrap/>
            <w:vAlign w:val="center"/>
          </w:tcPr>
          <w:p w:rsidR="00966EC2" w:rsidRPr="00966EC2" w:rsidRDefault="00966EC2" w:rsidP="00A364AF">
            <w:pPr>
              <w:jc w:val="center"/>
              <w:rPr>
                <w:rFonts w:eastAsia="Times New Roman"/>
                <w:b/>
                <w:color w:val="000000"/>
                <w:sz w:val="20"/>
                <w:szCs w:val="20"/>
                <w:lang w:eastAsia="en-GB"/>
              </w:rPr>
            </w:pPr>
          </w:p>
        </w:tc>
        <w:tc>
          <w:tcPr>
            <w:tcW w:w="1128" w:type="dxa"/>
            <w:tcBorders>
              <w:top w:val="single" w:sz="8" w:space="0" w:color="auto"/>
              <w:left w:val="nil"/>
            </w:tcBorders>
            <w:shd w:val="clear" w:color="auto" w:fill="auto"/>
            <w:noWrap/>
            <w:vAlign w:val="center"/>
          </w:tcPr>
          <w:p w:rsidR="00966EC2" w:rsidRDefault="00966EC2" w:rsidP="00A364AF">
            <w:pPr>
              <w:jc w:val="center"/>
              <w:rPr>
                <w:rFonts w:eastAsia="Times New Roman"/>
                <w:b/>
                <w:bCs/>
                <w:color w:val="000000"/>
                <w:sz w:val="20"/>
                <w:szCs w:val="20"/>
                <w:lang w:eastAsia="en-GB"/>
              </w:rPr>
            </w:pPr>
          </w:p>
        </w:tc>
        <w:tc>
          <w:tcPr>
            <w:tcW w:w="257" w:type="dxa"/>
            <w:tcBorders>
              <w:top w:val="nil"/>
              <w:left w:val="nil"/>
              <w:bottom w:val="nil"/>
              <w:right w:val="nil"/>
            </w:tcBorders>
            <w:shd w:val="clear" w:color="auto" w:fill="auto"/>
            <w:noWrap/>
            <w:vAlign w:val="bottom"/>
          </w:tcPr>
          <w:p w:rsidR="00966EC2" w:rsidRPr="00711CDA" w:rsidRDefault="00966EC2" w:rsidP="00A364AF">
            <w:pPr>
              <w:rPr>
                <w:rFonts w:eastAsia="Times New Roman"/>
                <w:color w:val="000000"/>
                <w:sz w:val="20"/>
                <w:szCs w:val="20"/>
                <w:lang w:eastAsia="en-GB"/>
              </w:rPr>
            </w:pPr>
          </w:p>
        </w:tc>
        <w:tc>
          <w:tcPr>
            <w:tcW w:w="2291"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tcPr>
          <w:p w:rsidR="00966EC2" w:rsidRDefault="00966EC2" w:rsidP="00A364AF">
            <w:pPr>
              <w:rPr>
                <w:b/>
                <w:bCs/>
                <w:color w:val="000000"/>
                <w:sz w:val="20"/>
                <w:szCs w:val="20"/>
              </w:rPr>
            </w:pPr>
            <w:r>
              <w:rPr>
                <w:b/>
                <w:bCs/>
                <w:color w:val="000000"/>
                <w:sz w:val="20"/>
                <w:szCs w:val="20"/>
              </w:rPr>
              <w:t>Total</w:t>
            </w:r>
          </w:p>
        </w:tc>
        <w:tc>
          <w:tcPr>
            <w:tcW w:w="1436"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966EC2" w:rsidRPr="00966EC2" w:rsidRDefault="00966EC2" w:rsidP="00A364AF">
            <w:pPr>
              <w:jc w:val="center"/>
              <w:rPr>
                <w:rFonts w:eastAsia="Times New Roman"/>
                <w:b/>
                <w:color w:val="000000"/>
                <w:sz w:val="20"/>
                <w:szCs w:val="20"/>
                <w:lang w:eastAsia="en-GB"/>
              </w:rPr>
            </w:pPr>
            <w:r w:rsidRPr="00966EC2">
              <w:rPr>
                <w:rFonts w:eastAsia="Times New Roman"/>
                <w:b/>
                <w:color w:val="000000"/>
                <w:sz w:val="20"/>
                <w:szCs w:val="20"/>
                <w:lang w:eastAsia="en-GB"/>
              </w:rPr>
              <w:t>100%</w:t>
            </w:r>
          </w:p>
        </w:tc>
        <w:tc>
          <w:tcPr>
            <w:tcW w:w="1137" w:type="dxa"/>
            <w:tcBorders>
              <w:top w:val="single" w:sz="8" w:space="0" w:color="auto"/>
              <w:left w:val="nil"/>
              <w:bottom w:val="single" w:sz="8" w:space="0" w:color="auto"/>
              <w:right w:val="single" w:sz="8" w:space="0" w:color="auto"/>
            </w:tcBorders>
            <w:shd w:val="clear" w:color="auto" w:fill="DAEEF3" w:themeFill="accent5" w:themeFillTint="33"/>
            <w:noWrap/>
            <w:vAlign w:val="center"/>
          </w:tcPr>
          <w:p w:rsidR="00966EC2" w:rsidRPr="00966EC2" w:rsidRDefault="00966EC2" w:rsidP="00A364AF">
            <w:pPr>
              <w:jc w:val="center"/>
              <w:rPr>
                <w:rFonts w:eastAsia="Times New Roman"/>
                <w:b/>
                <w:color w:val="000000"/>
                <w:sz w:val="20"/>
                <w:szCs w:val="20"/>
                <w:lang w:eastAsia="en-GB"/>
              </w:rPr>
            </w:pPr>
            <w:r>
              <w:rPr>
                <w:rFonts w:eastAsia="Times New Roman"/>
                <w:b/>
                <w:color w:val="000000"/>
                <w:sz w:val="20"/>
                <w:szCs w:val="20"/>
                <w:lang w:eastAsia="en-GB"/>
              </w:rPr>
              <w:t>151</w:t>
            </w:r>
          </w:p>
        </w:tc>
      </w:tr>
    </w:tbl>
    <w:p w:rsidR="009618F2" w:rsidRDefault="009618F2" w:rsidP="008A22C6">
      <w:pPr>
        <w:rPr>
          <w:b/>
          <w:sz w:val="22"/>
          <w:szCs w:val="22"/>
        </w:rPr>
      </w:pPr>
    </w:p>
    <w:p w:rsidR="00D246B5" w:rsidRDefault="00966EC2" w:rsidP="008A22C6">
      <w:pPr>
        <w:rPr>
          <w:szCs w:val="22"/>
        </w:rPr>
      </w:pPr>
      <w:r w:rsidRPr="00701098">
        <w:rPr>
          <w:b/>
          <w:sz w:val="22"/>
          <w:szCs w:val="22"/>
        </w:rPr>
        <w:t xml:space="preserve">Commentary: </w:t>
      </w:r>
      <w:r w:rsidRPr="00701098">
        <w:rPr>
          <w:sz w:val="22"/>
          <w:szCs w:val="22"/>
        </w:rPr>
        <w:t>The number of leavers at the end of their fixed term contract is at its highest since 2015/16</w:t>
      </w:r>
      <w:r w:rsidR="004336D2">
        <w:rPr>
          <w:sz w:val="22"/>
          <w:szCs w:val="22"/>
        </w:rPr>
        <w:t xml:space="preserve"> as the Council moves to consolidate its permanent workforce</w:t>
      </w:r>
      <w:r w:rsidRPr="00701098">
        <w:rPr>
          <w:sz w:val="22"/>
          <w:szCs w:val="22"/>
        </w:rPr>
        <w:t xml:space="preserve">, with the proportion of </w:t>
      </w:r>
      <w:r w:rsidR="009825C7" w:rsidRPr="00701098">
        <w:rPr>
          <w:sz w:val="22"/>
          <w:szCs w:val="22"/>
        </w:rPr>
        <w:t>‘</w:t>
      </w:r>
      <w:r w:rsidRPr="00701098">
        <w:rPr>
          <w:sz w:val="22"/>
          <w:szCs w:val="22"/>
        </w:rPr>
        <w:t>resignation</w:t>
      </w:r>
      <w:r w:rsidR="009825C7" w:rsidRPr="00701098">
        <w:rPr>
          <w:sz w:val="22"/>
          <w:szCs w:val="22"/>
        </w:rPr>
        <w:t>’</w:t>
      </w:r>
      <w:r w:rsidRPr="00701098">
        <w:rPr>
          <w:sz w:val="22"/>
          <w:szCs w:val="22"/>
        </w:rPr>
        <w:t xml:space="preserve"> (for various categories such as relocation, retirement, etc.) </w:t>
      </w:r>
      <w:r w:rsidR="009825C7" w:rsidRPr="00701098">
        <w:rPr>
          <w:sz w:val="22"/>
          <w:szCs w:val="22"/>
        </w:rPr>
        <w:t xml:space="preserve">given </w:t>
      </w:r>
      <w:r w:rsidRPr="00701098">
        <w:rPr>
          <w:sz w:val="22"/>
          <w:szCs w:val="22"/>
        </w:rPr>
        <w:t xml:space="preserve">as a leaving reason for 2017/18 is </w:t>
      </w:r>
      <w:r w:rsidR="009825C7" w:rsidRPr="00701098">
        <w:rPr>
          <w:sz w:val="22"/>
          <w:szCs w:val="22"/>
        </w:rPr>
        <w:t xml:space="preserve">broadly </w:t>
      </w:r>
      <w:r w:rsidRPr="00701098">
        <w:rPr>
          <w:sz w:val="22"/>
          <w:szCs w:val="22"/>
        </w:rPr>
        <w:t xml:space="preserve">comparable </w:t>
      </w:r>
      <w:r w:rsidR="009825C7" w:rsidRPr="00701098">
        <w:rPr>
          <w:sz w:val="22"/>
          <w:szCs w:val="22"/>
        </w:rPr>
        <w:t>with</w:t>
      </w:r>
      <w:r w:rsidRPr="00701098">
        <w:rPr>
          <w:sz w:val="22"/>
          <w:szCs w:val="22"/>
        </w:rPr>
        <w:t xml:space="preserve"> 2016/17. </w:t>
      </w:r>
      <w:r w:rsidR="004336D2">
        <w:rPr>
          <w:sz w:val="22"/>
          <w:szCs w:val="22"/>
        </w:rPr>
        <w:t>More granular reporting for 2016/17 and 2017/</w:t>
      </w:r>
      <w:proofErr w:type="gramStart"/>
      <w:r w:rsidR="004336D2">
        <w:rPr>
          <w:sz w:val="22"/>
          <w:szCs w:val="22"/>
        </w:rPr>
        <w:t>18</w:t>
      </w:r>
      <w:r w:rsidR="000036A1">
        <w:rPr>
          <w:sz w:val="22"/>
          <w:szCs w:val="22"/>
        </w:rPr>
        <w:t xml:space="preserve"> </w:t>
      </w:r>
      <w:r w:rsidR="004336D2">
        <w:rPr>
          <w:sz w:val="22"/>
          <w:szCs w:val="22"/>
        </w:rPr>
        <w:t xml:space="preserve"> has</w:t>
      </w:r>
      <w:proofErr w:type="gramEnd"/>
      <w:r w:rsidR="004336D2">
        <w:rPr>
          <w:sz w:val="22"/>
          <w:szCs w:val="22"/>
        </w:rPr>
        <w:t xml:space="preserve"> been achieved through an increased focus on securing more information from the exit interview process.</w:t>
      </w:r>
    </w:p>
    <w:p w:rsidR="00542F3D" w:rsidRDefault="00A67A23" w:rsidP="008A22C6">
      <w:pPr>
        <w:rPr>
          <w:b/>
          <w:szCs w:val="22"/>
        </w:rPr>
      </w:pPr>
      <w:r>
        <w:rPr>
          <w:b/>
          <w:szCs w:val="22"/>
        </w:rPr>
        <w:lastRenderedPageBreak/>
        <w:t>5. EQUAL PAY/</w:t>
      </w:r>
      <w:r w:rsidR="00FA5343">
        <w:rPr>
          <w:b/>
          <w:szCs w:val="22"/>
        </w:rPr>
        <w:t>”</w:t>
      </w:r>
      <w:r>
        <w:rPr>
          <w:b/>
          <w:szCs w:val="22"/>
        </w:rPr>
        <w:t>GENDER PAY GAP</w:t>
      </w:r>
      <w:r w:rsidR="00FA5343">
        <w:rPr>
          <w:b/>
          <w:szCs w:val="22"/>
        </w:rPr>
        <w:t>”</w:t>
      </w:r>
      <w:r>
        <w:rPr>
          <w:b/>
          <w:szCs w:val="22"/>
        </w:rPr>
        <w:t xml:space="preserve"> (FULL TIME)</w:t>
      </w:r>
    </w:p>
    <w:p w:rsidR="00A67A23" w:rsidRPr="00A67A23" w:rsidRDefault="00A67A23" w:rsidP="008A22C6">
      <w:pPr>
        <w:rPr>
          <w:b/>
          <w:szCs w:val="22"/>
        </w:rPr>
      </w:pPr>
    </w:p>
    <w:tbl>
      <w:tblPr>
        <w:tblW w:w="14190" w:type="dxa"/>
        <w:tblInd w:w="93" w:type="dxa"/>
        <w:tblLook w:val="04A0" w:firstRow="1" w:lastRow="0" w:firstColumn="1" w:lastColumn="0" w:noHBand="0" w:noVBand="1"/>
      </w:tblPr>
      <w:tblGrid>
        <w:gridCol w:w="2116"/>
        <w:gridCol w:w="1355"/>
        <w:gridCol w:w="1000"/>
        <w:gridCol w:w="282"/>
        <w:gridCol w:w="2195"/>
        <w:gridCol w:w="1334"/>
        <w:gridCol w:w="1066"/>
        <w:gridCol w:w="243"/>
        <w:gridCol w:w="2166"/>
        <w:gridCol w:w="1358"/>
        <w:gridCol w:w="1075"/>
      </w:tblGrid>
      <w:tr w:rsidR="00A67A23" w:rsidRPr="00D27E5B" w:rsidTr="00A364AF">
        <w:trPr>
          <w:trHeight w:val="315"/>
        </w:trPr>
        <w:tc>
          <w:tcPr>
            <w:tcW w:w="4471" w:type="dxa"/>
            <w:gridSpan w:val="3"/>
            <w:tcBorders>
              <w:top w:val="nil"/>
              <w:left w:val="nil"/>
              <w:bottom w:val="nil"/>
              <w:right w:val="nil"/>
            </w:tcBorders>
            <w:shd w:val="clear" w:color="auto" w:fill="auto"/>
            <w:noWrap/>
            <w:vAlign w:val="bottom"/>
            <w:hideMark/>
          </w:tcPr>
          <w:p w:rsidR="00A67A23" w:rsidRPr="00A21AA8" w:rsidRDefault="00A67A23" w:rsidP="00A67A23">
            <w:pPr>
              <w:rPr>
                <w:rFonts w:eastAsia="Times New Roman"/>
                <w:b/>
                <w:bCs/>
                <w:color w:val="000000"/>
                <w:sz w:val="22"/>
                <w:szCs w:val="22"/>
                <w:lang w:eastAsia="en-GB"/>
              </w:rPr>
            </w:pPr>
            <w:r>
              <w:rPr>
                <w:rFonts w:eastAsia="Times New Roman"/>
                <w:b/>
                <w:bCs/>
                <w:color w:val="000000"/>
                <w:sz w:val="22"/>
                <w:szCs w:val="22"/>
                <w:lang w:eastAsia="en-GB"/>
              </w:rPr>
              <w:t>As at 31 March</w:t>
            </w:r>
            <w:r w:rsidRPr="00CA74BC">
              <w:rPr>
                <w:rFonts w:eastAsia="Times New Roman"/>
                <w:b/>
                <w:bCs/>
                <w:color w:val="000000"/>
                <w:sz w:val="22"/>
                <w:szCs w:val="22"/>
                <w:lang w:eastAsia="en-GB"/>
              </w:rPr>
              <w:t xml:space="preserve"> 2016</w:t>
            </w:r>
          </w:p>
        </w:tc>
        <w:tc>
          <w:tcPr>
            <w:tcW w:w="282" w:type="dxa"/>
            <w:tcBorders>
              <w:top w:val="nil"/>
              <w:left w:val="nil"/>
              <w:bottom w:val="nil"/>
              <w:right w:val="nil"/>
            </w:tcBorders>
            <w:shd w:val="clear" w:color="auto" w:fill="auto"/>
            <w:noWrap/>
            <w:vAlign w:val="bottom"/>
            <w:hideMark/>
          </w:tcPr>
          <w:p w:rsidR="00A67A23" w:rsidRPr="00A21AA8" w:rsidRDefault="00A67A23" w:rsidP="00A364AF">
            <w:pPr>
              <w:rPr>
                <w:rFonts w:eastAsia="Times New Roman"/>
                <w:color w:val="000000"/>
                <w:sz w:val="22"/>
                <w:szCs w:val="22"/>
                <w:lang w:eastAsia="en-GB"/>
              </w:rPr>
            </w:pPr>
          </w:p>
        </w:tc>
        <w:tc>
          <w:tcPr>
            <w:tcW w:w="4595" w:type="dxa"/>
            <w:gridSpan w:val="3"/>
            <w:tcBorders>
              <w:top w:val="nil"/>
              <w:left w:val="nil"/>
              <w:bottom w:val="nil"/>
              <w:right w:val="nil"/>
            </w:tcBorders>
            <w:shd w:val="clear" w:color="auto" w:fill="auto"/>
            <w:noWrap/>
            <w:vAlign w:val="bottom"/>
            <w:hideMark/>
          </w:tcPr>
          <w:p w:rsidR="00A67A23" w:rsidRPr="00D27E5B" w:rsidRDefault="00A67A23" w:rsidP="00A364AF">
            <w:pPr>
              <w:rPr>
                <w:rFonts w:eastAsia="Times New Roman"/>
                <w:b/>
                <w:bCs/>
                <w:color w:val="000000"/>
                <w:sz w:val="22"/>
                <w:szCs w:val="22"/>
                <w:lang w:eastAsia="en-GB"/>
              </w:rPr>
            </w:pPr>
            <w:r w:rsidRPr="00CA74BC">
              <w:rPr>
                <w:rFonts w:eastAsia="Times New Roman"/>
                <w:b/>
                <w:bCs/>
                <w:color w:val="000000"/>
                <w:sz w:val="22"/>
                <w:szCs w:val="22"/>
                <w:lang w:eastAsia="en-GB"/>
              </w:rPr>
              <w:t>As at 31 March 2017</w:t>
            </w:r>
          </w:p>
        </w:tc>
        <w:tc>
          <w:tcPr>
            <w:tcW w:w="243" w:type="dxa"/>
            <w:tcBorders>
              <w:top w:val="nil"/>
              <w:left w:val="nil"/>
              <w:bottom w:val="nil"/>
              <w:right w:val="nil"/>
            </w:tcBorders>
            <w:shd w:val="clear" w:color="auto" w:fill="auto"/>
            <w:noWrap/>
            <w:vAlign w:val="bottom"/>
            <w:hideMark/>
          </w:tcPr>
          <w:p w:rsidR="00A67A23" w:rsidRPr="00A21AA8" w:rsidRDefault="00A67A23" w:rsidP="00A364AF">
            <w:pPr>
              <w:rPr>
                <w:rFonts w:eastAsia="Times New Roman"/>
                <w:color w:val="000000"/>
                <w:sz w:val="22"/>
                <w:szCs w:val="22"/>
                <w:lang w:eastAsia="en-GB"/>
              </w:rPr>
            </w:pPr>
          </w:p>
        </w:tc>
        <w:tc>
          <w:tcPr>
            <w:tcW w:w="4599" w:type="dxa"/>
            <w:gridSpan w:val="3"/>
            <w:tcBorders>
              <w:top w:val="nil"/>
              <w:left w:val="nil"/>
              <w:bottom w:val="nil"/>
              <w:right w:val="nil"/>
            </w:tcBorders>
            <w:shd w:val="clear" w:color="auto" w:fill="auto"/>
            <w:noWrap/>
            <w:vAlign w:val="bottom"/>
            <w:hideMark/>
          </w:tcPr>
          <w:p w:rsidR="00A67A23" w:rsidRPr="00D27E5B" w:rsidRDefault="00A67A23" w:rsidP="00A364AF">
            <w:pPr>
              <w:rPr>
                <w:rFonts w:eastAsia="Times New Roman"/>
                <w:b/>
                <w:bCs/>
                <w:color w:val="000000"/>
                <w:sz w:val="22"/>
                <w:szCs w:val="22"/>
                <w:lang w:eastAsia="en-GB"/>
              </w:rPr>
            </w:pPr>
            <w:r w:rsidRPr="00CA74BC">
              <w:rPr>
                <w:rFonts w:eastAsia="Times New Roman"/>
                <w:b/>
                <w:bCs/>
                <w:color w:val="000000"/>
                <w:sz w:val="22"/>
                <w:szCs w:val="22"/>
                <w:lang w:eastAsia="en-GB"/>
              </w:rPr>
              <w:t>As at 31 March 2018</w:t>
            </w:r>
          </w:p>
        </w:tc>
      </w:tr>
      <w:tr w:rsidR="00A67A23" w:rsidRPr="00A21AA8" w:rsidTr="00532BB3">
        <w:trPr>
          <w:trHeight w:val="315"/>
        </w:trPr>
        <w:tc>
          <w:tcPr>
            <w:tcW w:w="2116" w:type="dxa"/>
            <w:tcBorders>
              <w:top w:val="nil"/>
              <w:left w:val="nil"/>
              <w:bottom w:val="nil"/>
              <w:right w:val="nil"/>
            </w:tcBorders>
            <w:shd w:val="clear" w:color="auto" w:fill="auto"/>
            <w:noWrap/>
            <w:vAlign w:val="bottom"/>
            <w:hideMark/>
          </w:tcPr>
          <w:p w:rsidR="00A67A23" w:rsidRPr="00A21AA8" w:rsidRDefault="00A67A23" w:rsidP="00A364AF">
            <w:pPr>
              <w:rPr>
                <w:rFonts w:eastAsia="Times New Roman"/>
                <w:color w:val="000000"/>
                <w:sz w:val="22"/>
                <w:szCs w:val="22"/>
                <w:lang w:eastAsia="en-GB"/>
              </w:rPr>
            </w:pPr>
          </w:p>
        </w:tc>
        <w:tc>
          <w:tcPr>
            <w:tcW w:w="1355" w:type="dxa"/>
            <w:tcBorders>
              <w:top w:val="nil"/>
              <w:left w:val="nil"/>
              <w:bottom w:val="nil"/>
              <w:right w:val="nil"/>
            </w:tcBorders>
            <w:shd w:val="clear" w:color="auto" w:fill="auto"/>
            <w:noWrap/>
            <w:vAlign w:val="bottom"/>
            <w:hideMark/>
          </w:tcPr>
          <w:p w:rsidR="00A67A23" w:rsidRPr="00A21AA8" w:rsidRDefault="00A67A23" w:rsidP="00A364AF">
            <w:pPr>
              <w:jc w:val="center"/>
              <w:rPr>
                <w:rFonts w:eastAsia="Times New Roman"/>
                <w:color w:val="000000"/>
                <w:sz w:val="22"/>
                <w:szCs w:val="22"/>
                <w:lang w:eastAsia="en-GB"/>
              </w:rPr>
            </w:pPr>
          </w:p>
        </w:tc>
        <w:tc>
          <w:tcPr>
            <w:tcW w:w="1000" w:type="dxa"/>
            <w:tcBorders>
              <w:top w:val="nil"/>
              <w:left w:val="nil"/>
              <w:bottom w:val="nil"/>
              <w:right w:val="nil"/>
            </w:tcBorders>
            <w:shd w:val="clear" w:color="auto" w:fill="auto"/>
            <w:noWrap/>
            <w:vAlign w:val="bottom"/>
            <w:hideMark/>
          </w:tcPr>
          <w:p w:rsidR="00A67A23" w:rsidRPr="00A21AA8" w:rsidRDefault="00A67A23" w:rsidP="00A364AF">
            <w:pPr>
              <w:jc w:val="center"/>
              <w:rPr>
                <w:rFonts w:eastAsia="Times New Roman"/>
                <w:color w:val="000000"/>
                <w:sz w:val="22"/>
                <w:szCs w:val="22"/>
                <w:lang w:eastAsia="en-GB"/>
              </w:rPr>
            </w:pPr>
          </w:p>
        </w:tc>
        <w:tc>
          <w:tcPr>
            <w:tcW w:w="282" w:type="dxa"/>
            <w:tcBorders>
              <w:top w:val="nil"/>
              <w:left w:val="nil"/>
              <w:bottom w:val="nil"/>
              <w:right w:val="nil"/>
            </w:tcBorders>
            <w:shd w:val="clear" w:color="auto" w:fill="auto"/>
            <w:noWrap/>
            <w:vAlign w:val="bottom"/>
            <w:hideMark/>
          </w:tcPr>
          <w:p w:rsidR="00A67A23" w:rsidRPr="00A21AA8" w:rsidRDefault="00A67A23" w:rsidP="00A364AF">
            <w:pPr>
              <w:rPr>
                <w:rFonts w:eastAsia="Times New Roman"/>
                <w:color w:val="000000"/>
                <w:sz w:val="22"/>
                <w:szCs w:val="22"/>
                <w:lang w:eastAsia="en-GB"/>
              </w:rPr>
            </w:pPr>
          </w:p>
        </w:tc>
        <w:tc>
          <w:tcPr>
            <w:tcW w:w="2195" w:type="dxa"/>
            <w:tcBorders>
              <w:top w:val="nil"/>
              <w:left w:val="nil"/>
              <w:bottom w:val="nil"/>
              <w:right w:val="nil"/>
            </w:tcBorders>
            <w:shd w:val="clear" w:color="auto" w:fill="auto"/>
            <w:noWrap/>
            <w:vAlign w:val="bottom"/>
            <w:hideMark/>
          </w:tcPr>
          <w:p w:rsidR="00A67A23" w:rsidRPr="00A21AA8" w:rsidRDefault="00A67A23" w:rsidP="00A364AF">
            <w:pPr>
              <w:rPr>
                <w:rFonts w:eastAsia="Times New Roman"/>
                <w:color w:val="000000"/>
                <w:sz w:val="22"/>
                <w:szCs w:val="22"/>
                <w:lang w:eastAsia="en-GB"/>
              </w:rPr>
            </w:pPr>
          </w:p>
        </w:tc>
        <w:tc>
          <w:tcPr>
            <w:tcW w:w="1334" w:type="dxa"/>
            <w:tcBorders>
              <w:top w:val="nil"/>
              <w:left w:val="nil"/>
              <w:bottom w:val="single" w:sz="8" w:space="0" w:color="auto"/>
              <w:right w:val="nil"/>
            </w:tcBorders>
            <w:shd w:val="clear" w:color="auto" w:fill="auto"/>
            <w:noWrap/>
            <w:vAlign w:val="bottom"/>
            <w:hideMark/>
          </w:tcPr>
          <w:p w:rsidR="00A67A23" w:rsidRPr="00A21AA8" w:rsidRDefault="00A67A23" w:rsidP="00A364AF">
            <w:pPr>
              <w:jc w:val="center"/>
              <w:rPr>
                <w:rFonts w:eastAsia="Times New Roman"/>
                <w:color w:val="000000"/>
                <w:sz w:val="22"/>
                <w:szCs w:val="22"/>
                <w:lang w:eastAsia="en-GB"/>
              </w:rPr>
            </w:pPr>
          </w:p>
        </w:tc>
        <w:tc>
          <w:tcPr>
            <w:tcW w:w="1066" w:type="dxa"/>
            <w:tcBorders>
              <w:top w:val="nil"/>
              <w:left w:val="nil"/>
              <w:bottom w:val="single" w:sz="8" w:space="0" w:color="auto"/>
              <w:right w:val="nil"/>
            </w:tcBorders>
            <w:shd w:val="clear" w:color="auto" w:fill="auto"/>
            <w:noWrap/>
            <w:vAlign w:val="bottom"/>
            <w:hideMark/>
          </w:tcPr>
          <w:p w:rsidR="00A67A23" w:rsidRPr="00A21AA8" w:rsidRDefault="00A67A23" w:rsidP="00A364AF">
            <w:pPr>
              <w:jc w:val="center"/>
              <w:rPr>
                <w:rFonts w:eastAsia="Times New Roman"/>
                <w:color w:val="000000"/>
                <w:sz w:val="22"/>
                <w:szCs w:val="22"/>
                <w:lang w:eastAsia="en-GB"/>
              </w:rPr>
            </w:pPr>
          </w:p>
        </w:tc>
        <w:tc>
          <w:tcPr>
            <w:tcW w:w="243" w:type="dxa"/>
            <w:tcBorders>
              <w:top w:val="nil"/>
              <w:left w:val="nil"/>
              <w:bottom w:val="nil"/>
              <w:right w:val="nil"/>
            </w:tcBorders>
            <w:shd w:val="clear" w:color="auto" w:fill="auto"/>
            <w:noWrap/>
            <w:vAlign w:val="bottom"/>
            <w:hideMark/>
          </w:tcPr>
          <w:p w:rsidR="00A67A23" w:rsidRPr="00A21AA8" w:rsidRDefault="00A67A23" w:rsidP="00A364AF">
            <w:pPr>
              <w:rPr>
                <w:rFonts w:eastAsia="Times New Roman"/>
                <w:color w:val="000000"/>
                <w:sz w:val="22"/>
                <w:szCs w:val="22"/>
                <w:lang w:eastAsia="en-GB"/>
              </w:rPr>
            </w:pPr>
          </w:p>
        </w:tc>
        <w:tc>
          <w:tcPr>
            <w:tcW w:w="2166" w:type="dxa"/>
            <w:tcBorders>
              <w:top w:val="nil"/>
              <w:left w:val="nil"/>
              <w:bottom w:val="nil"/>
              <w:right w:val="nil"/>
            </w:tcBorders>
            <w:shd w:val="clear" w:color="auto" w:fill="auto"/>
            <w:noWrap/>
            <w:vAlign w:val="bottom"/>
            <w:hideMark/>
          </w:tcPr>
          <w:p w:rsidR="00A67A23" w:rsidRPr="00A21AA8" w:rsidRDefault="00A67A23" w:rsidP="00A364AF">
            <w:pPr>
              <w:rPr>
                <w:rFonts w:eastAsia="Times New Roman"/>
                <w:color w:val="000000"/>
                <w:sz w:val="22"/>
                <w:szCs w:val="22"/>
                <w:lang w:eastAsia="en-GB"/>
              </w:rPr>
            </w:pPr>
          </w:p>
        </w:tc>
        <w:tc>
          <w:tcPr>
            <w:tcW w:w="1358" w:type="dxa"/>
            <w:tcBorders>
              <w:top w:val="nil"/>
              <w:left w:val="nil"/>
              <w:bottom w:val="nil"/>
              <w:right w:val="nil"/>
            </w:tcBorders>
            <w:shd w:val="clear" w:color="auto" w:fill="auto"/>
            <w:noWrap/>
            <w:vAlign w:val="bottom"/>
            <w:hideMark/>
          </w:tcPr>
          <w:p w:rsidR="00A67A23" w:rsidRPr="00A21AA8" w:rsidRDefault="00A67A23" w:rsidP="00A364AF">
            <w:pPr>
              <w:jc w:val="center"/>
              <w:rPr>
                <w:rFonts w:eastAsia="Times New Roman"/>
                <w:color w:val="000000"/>
                <w:sz w:val="22"/>
                <w:szCs w:val="22"/>
                <w:lang w:eastAsia="en-GB"/>
              </w:rPr>
            </w:pPr>
          </w:p>
        </w:tc>
        <w:tc>
          <w:tcPr>
            <w:tcW w:w="1075" w:type="dxa"/>
            <w:tcBorders>
              <w:top w:val="nil"/>
              <w:left w:val="nil"/>
              <w:bottom w:val="nil"/>
              <w:right w:val="nil"/>
            </w:tcBorders>
            <w:shd w:val="clear" w:color="auto" w:fill="auto"/>
            <w:noWrap/>
            <w:vAlign w:val="bottom"/>
            <w:hideMark/>
          </w:tcPr>
          <w:p w:rsidR="00A67A23" w:rsidRPr="00A21AA8" w:rsidRDefault="00A67A23" w:rsidP="00A364AF">
            <w:pPr>
              <w:jc w:val="center"/>
              <w:rPr>
                <w:rFonts w:eastAsia="Times New Roman"/>
                <w:color w:val="000000"/>
                <w:sz w:val="22"/>
                <w:szCs w:val="22"/>
                <w:lang w:eastAsia="en-GB"/>
              </w:rPr>
            </w:pPr>
          </w:p>
        </w:tc>
      </w:tr>
      <w:tr w:rsidR="00532BB3" w:rsidRPr="00711CDA" w:rsidTr="00532BB3">
        <w:trPr>
          <w:trHeight w:val="315"/>
        </w:trPr>
        <w:tc>
          <w:tcPr>
            <w:tcW w:w="2116" w:type="dxa"/>
            <w:vMerge w:val="restart"/>
            <w:tcBorders>
              <w:top w:val="single" w:sz="8" w:space="0" w:color="auto"/>
              <w:left w:val="single" w:sz="8" w:space="0" w:color="auto"/>
              <w:right w:val="single" w:sz="8" w:space="0" w:color="auto"/>
            </w:tcBorders>
            <w:shd w:val="clear" w:color="000000" w:fill="DCE6F1"/>
            <w:noWrap/>
            <w:vAlign w:val="bottom"/>
          </w:tcPr>
          <w:p w:rsidR="00532BB3" w:rsidRPr="00711CDA" w:rsidRDefault="00532BB3" w:rsidP="00532BB3">
            <w:pPr>
              <w:rPr>
                <w:rFonts w:eastAsia="Times New Roman"/>
                <w:b/>
                <w:bCs/>
                <w:color w:val="000000"/>
                <w:sz w:val="20"/>
                <w:szCs w:val="20"/>
                <w:lang w:eastAsia="en-GB"/>
              </w:rPr>
            </w:pPr>
            <w:r>
              <w:rPr>
                <w:b/>
                <w:bCs/>
                <w:sz w:val="20"/>
                <w:szCs w:val="20"/>
              </w:rPr>
              <w:t>Full-Time Gap</w:t>
            </w:r>
          </w:p>
        </w:tc>
        <w:tc>
          <w:tcPr>
            <w:tcW w:w="2355" w:type="dxa"/>
            <w:gridSpan w:val="2"/>
            <w:tcBorders>
              <w:top w:val="single" w:sz="8" w:space="0" w:color="auto"/>
              <w:left w:val="nil"/>
              <w:right w:val="single" w:sz="8" w:space="0" w:color="auto"/>
            </w:tcBorders>
            <w:shd w:val="clear" w:color="000000" w:fill="DCE6F1"/>
            <w:noWrap/>
            <w:vAlign w:val="center"/>
          </w:tcPr>
          <w:p w:rsidR="00532BB3" w:rsidRPr="00711CDA" w:rsidRDefault="00532BB3" w:rsidP="00A364AF">
            <w:pPr>
              <w:jc w:val="center"/>
              <w:rPr>
                <w:rFonts w:eastAsia="Times New Roman"/>
                <w:b/>
                <w:bCs/>
                <w:color w:val="000000"/>
                <w:sz w:val="20"/>
                <w:szCs w:val="20"/>
                <w:lang w:eastAsia="en-GB"/>
              </w:rPr>
            </w:pPr>
            <w:r>
              <w:rPr>
                <w:rFonts w:eastAsia="Times New Roman"/>
                <w:b/>
                <w:bCs/>
                <w:color w:val="000000"/>
                <w:sz w:val="20"/>
                <w:szCs w:val="20"/>
                <w:lang w:eastAsia="en-GB"/>
              </w:rPr>
              <w:t>Hourly Rates</w:t>
            </w:r>
          </w:p>
        </w:tc>
        <w:tc>
          <w:tcPr>
            <w:tcW w:w="282" w:type="dxa"/>
            <w:tcBorders>
              <w:top w:val="nil"/>
              <w:left w:val="nil"/>
              <w:bottom w:val="nil"/>
              <w:right w:val="nil"/>
            </w:tcBorders>
            <w:shd w:val="clear" w:color="auto" w:fill="auto"/>
            <w:noWrap/>
            <w:vAlign w:val="bottom"/>
          </w:tcPr>
          <w:p w:rsidR="00532BB3" w:rsidRPr="00711CDA" w:rsidRDefault="00532BB3" w:rsidP="00A364AF">
            <w:pPr>
              <w:rPr>
                <w:rFonts w:eastAsia="Times New Roman"/>
                <w:color w:val="000000"/>
                <w:sz w:val="20"/>
                <w:szCs w:val="20"/>
                <w:lang w:eastAsia="en-GB"/>
              </w:rPr>
            </w:pPr>
          </w:p>
        </w:tc>
        <w:tc>
          <w:tcPr>
            <w:tcW w:w="2195" w:type="dxa"/>
            <w:vMerge w:val="restart"/>
            <w:tcBorders>
              <w:top w:val="single" w:sz="8" w:space="0" w:color="auto"/>
              <w:left w:val="single" w:sz="8" w:space="0" w:color="auto"/>
              <w:right w:val="single" w:sz="8" w:space="0" w:color="auto"/>
            </w:tcBorders>
            <w:shd w:val="clear" w:color="000000" w:fill="DCE6F1"/>
            <w:noWrap/>
            <w:vAlign w:val="bottom"/>
          </w:tcPr>
          <w:p w:rsidR="00532BB3" w:rsidRPr="00711CDA" w:rsidRDefault="00532BB3" w:rsidP="00532BB3">
            <w:pPr>
              <w:rPr>
                <w:rFonts w:eastAsia="Times New Roman"/>
                <w:b/>
                <w:bCs/>
                <w:color w:val="000000"/>
                <w:sz w:val="20"/>
                <w:szCs w:val="20"/>
                <w:lang w:eastAsia="en-GB"/>
              </w:rPr>
            </w:pPr>
            <w:r>
              <w:rPr>
                <w:b/>
                <w:bCs/>
                <w:sz w:val="20"/>
                <w:szCs w:val="20"/>
              </w:rPr>
              <w:t>Full-Time Gap</w:t>
            </w:r>
          </w:p>
        </w:tc>
        <w:tc>
          <w:tcPr>
            <w:tcW w:w="2400" w:type="dxa"/>
            <w:gridSpan w:val="2"/>
            <w:tcBorders>
              <w:top w:val="single" w:sz="8" w:space="0" w:color="auto"/>
              <w:left w:val="nil"/>
              <w:right w:val="single" w:sz="8" w:space="0" w:color="auto"/>
            </w:tcBorders>
            <w:shd w:val="clear" w:color="000000" w:fill="DCE6F1"/>
            <w:noWrap/>
            <w:vAlign w:val="center"/>
          </w:tcPr>
          <w:p w:rsidR="00532BB3" w:rsidRPr="00711CDA" w:rsidRDefault="00532BB3" w:rsidP="00A364AF">
            <w:pPr>
              <w:jc w:val="center"/>
              <w:rPr>
                <w:rFonts w:eastAsia="Times New Roman"/>
                <w:b/>
                <w:bCs/>
                <w:color w:val="000000"/>
                <w:sz w:val="20"/>
                <w:szCs w:val="20"/>
                <w:lang w:eastAsia="en-GB"/>
              </w:rPr>
            </w:pPr>
            <w:r>
              <w:rPr>
                <w:rFonts w:eastAsia="Times New Roman"/>
                <w:b/>
                <w:bCs/>
                <w:color w:val="000000"/>
                <w:sz w:val="20"/>
                <w:szCs w:val="20"/>
                <w:lang w:eastAsia="en-GB"/>
              </w:rPr>
              <w:t>Hourly Rates</w:t>
            </w:r>
          </w:p>
        </w:tc>
        <w:tc>
          <w:tcPr>
            <w:tcW w:w="243" w:type="dxa"/>
            <w:tcBorders>
              <w:top w:val="nil"/>
              <w:left w:val="nil"/>
              <w:bottom w:val="nil"/>
              <w:right w:val="nil"/>
            </w:tcBorders>
            <w:shd w:val="clear" w:color="auto" w:fill="auto"/>
            <w:noWrap/>
            <w:vAlign w:val="bottom"/>
          </w:tcPr>
          <w:p w:rsidR="00532BB3" w:rsidRPr="00711CDA" w:rsidRDefault="00532BB3" w:rsidP="00A364AF">
            <w:pPr>
              <w:rPr>
                <w:rFonts w:eastAsia="Times New Roman"/>
                <w:color w:val="000000"/>
                <w:sz w:val="20"/>
                <w:szCs w:val="20"/>
                <w:lang w:eastAsia="en-GB"/>
              </w:rPr>
            </w:pPr>
          </w:p>
        </w:tc>
        <w:tc>
          <w:tcPr>
            <w:tcW w:w="2166" w:type="dxa"/>
            <w:vMerge w:val="restart"/>
            <w:tcBorders>
              <w:top w:val="single" w:sz="8" w:space="0" w:color="auto"/>
              <w:left w:val="single" w:sz="8" w:space="0" w:color="auto"/>
              <w:right w:val="single" w:sz="8" w:space="0" w:color="auto"/>
            </w:tcBorders>
            <w:shd w:val="clear" w:color="000000" w:fill="DCE6F1"/>
            <w:noWrap/>
            <w:vAlign w:val="bottom"/>
          </w:tcPr>
          <w:p w:rsidR="00532BB3" w:rsidRPr="00711CDA" w:rsidRDefault="00532BB3" w:rsidP="00532BB3">
            <w:pPr>
              <w:rPr>
                <w:rFonts w:eastAsia="Times New Roman"/>
                <w:b/>
                <w:bCs/>
                <w:color w:val="000000"/>
                <w:sz w:val="20"/>
                <w:szCs w:val="20"/>
                <w:lang w:eastAsia="en-GB"/>
              </w:rPr>
            </w:pPr>
            <w:r>
              <w:rPr>
                <w:b/>
                <w:bCs/>
                <w:sz w:val="20"/>
                <w:szCs w:val="20"/>
              </w:rPr>
              <w:t>Full-Time Gap</w:t>
            </w:r>
          </w:p>
        </w:tc>
        <w:tc>
          <w:tcPr>
            <w:tcW w:w="2433" w:type="dxa"/>
            <w:gridSpan w:val="2"/>
            <w:tcBorders>
              <w:top w:val="single" w:sz="8" w:space="0" w:color="auto"/>
              <w:left w:val="nil"/>
              <w:right w:val="single" w:sz="8" w:space="0" w:color="auto"/>
            </w:tcBorders>
            <w:shd w:val="clear" w:color="000000" w:fill="DCE6F1"/>
            <w:noWrap/>
            <w:vAlign w:val="center"/>
          </w:tcPr>
          <w:p w:rsidR="00532BB3" w:rsidRPr="00711CDA" w:rsidRDefault="00532BB3" w:rsidP="00A364AF">
            <w:pPr>
              <w:jc w:val="center"/>
              <w:rPr>
                <w:rFonts w:eastAsia="Times New Roman"/>
                <w:b/>
                <w:bCs/>
                <w:color w:val="000000"/>
                <w:sz w:val="20"/>
                <w:szCs w:val="20"/>
                <w:lang w:eastAsia="en-GB"/>
              </w:rPr>
            </w:pPr>
            <w:r>
              <w:rPr>
                <w:rFonts w:eastAsia="Times New Roman"/>
                <w:b/>
                <w:bCs/>
                <w:color w:val="000000"/>
                <w:sz w:val="20"/>
                <w:szCs w:val="20"/>
                <w:lang w:eastAsia="en-GB"/>
              </w:rPr>
              <w:t>Hourly Rates</w:t>
            </w:r>
          </w:p>
        </w:tc>
      </w:tr>
      <w:tr w:rsidR="00532BB3" w:rsidRPr="00711CDA" w:rsidTr="00532BB3">
        <w:trPr>
          <w:trHeight w:val="315"/>
        </w:trPr>
        <w:tc>
          <w:tcPr>
            <w:tcW w:w="2116" w:type="dxa"/>
            <w:vMerge/>
            <w:tcBorders>
              <w:left w:val="single" w:sz="8" w:space="0" w:color="auto"/>
              <w:bottom w:val="single" w:sz="8" w:space="0" w:color="auto"/>
              <w:right w:val="single" w:sz="8" w:space="0" w:color="auto"/>
            </w:tcBorders>
            <w:shd w:val="clear" w:color="000000" w:fill="DCE6F1"/>
            <w:noWrap/>
            <w:vAlign w:val="center"/>
          </w:tcPr>
          <w:p w:rsidR="00532BB3" w:rsidRPr="00711CDA" w:rsidRDefault="00532BB3" w:rsidP="00A364AF">
            <w:pPr>
              <w:rPr>
                <w:rFonts w:eastAsia="Times New Roman"/>
                <w:b/>
                <w:bCs/>
                <w:color w:val="000000"/>
                <w:sz w:val="20"/>
                <w:szCs w:val="20"/>
                <w:lang w:eastAsia="en-GB"/>
              </w:rPr>
            </w:pPr>
          </w:p>
        </w:tc>
        <w:tc>
          <w:tcPr>
            <w:tcW w:w="1355" w:type="dxa"/>
            <w:tcBorders>
              <w:left w:val="nil"/>
              <w:bottom w:val="single" w:sz="8" w:space="0" w:color="auto"/>
              <w:right w:val="single" w:sz="8" w:space="0" w:color="auto"/>
            </w:tcBorders>
            <w:shd w:val="clear" w:color="000000" w:fill="DCE6F1"/>
            <w:noWrap/>
            <w:vAlign w:val="center"/>
          </w:tcPr>
          <w:p w:rsidR="00532BB3" w:rsidRPr="00711CDA" w:rsidRDefault="00532BB3" w:rsidP="00A364AF">
            <w:pPr>
              <w:jc w:val="center"/>
              <w:rPr>
                <w:rFonts w:eastAsia="Times New Roman"/>
                <w:b/>
                <w:bCs/>
                <w:color w:val="000000"/>
                <w:sz w:val="20"/>
                <w:szCs w:val="20"/>
                <w:lang w:eastAsia="en-GB"/>
              </w:rPr>
            </w:pPr>
            <w:r>
              <w:rPr>
                <w:rFonts w:eastAsia="Times New Roman"/>
                <w:b/>
                <w:bCs/>
                <w:color w:val="000000"/>
                <w:sz w:val="20"/>
                <w:szCs w:val="20"/>
                <w:lang w:eastAsia="en-GB"/>
              </w:rPr>
              <w:t>Female</w:t>
            </w:r>
          </w:p>
        </w:tc>
        <w:tc>
          <w:tcPr>
            <w:tcW w:w="1000" w:type="dxa"/>
            <w:tcBorders>
              <w:left w:val="nil"/>
              <w:bottom w:val="single" w:sz="8" w:space="0" w:color="auto"/>
              <w:right w:val="single" w:sz="8" w:space="0" w:color="auto"/>
            </w:tcBorders>
            <w:shd w:val="clear" w:color="000000" w:fill="DCE6F1"/>
            <w:noWrap/>
            <w:vAlign w:val="center"/>
          </w:tcPr>
          <w:p w:rsidR="00532BB3" w:rsidRPr="00711CDA" w:rsidRDefault="00532BB3" w:rsidP="00A364AF">
            <w:pPr>
              <w:jc w:val="center"/>
              <w:rPr>
                <w:rFonts w:eastAsia="Times New Roman"/>
                <w:b/>
                <w:bCs/>
                <w:color w:val="000000"/>
                <w:sz w:val="20"/>
                <w:szCs w:val="20"/>
                <w:lang w:eastAsia="en-GB"/>
              </w:rPr>
            </w:pPr>
            <w:r>
              <w:rPr>
                <w:rFonts w:eastAsia="Times New Roman"/>
                <w:b/>
                <w:bCs/>
                <w:color w:val="000000"/>
                <w:sz w:val="20"/>
                <w:szCs w:val="20"/>
                <w:lang w:eastAsia="en-GB"/>
              </w:rPr>
              <w:t>Male</w:t>
            </w:r>
          </w:p>
        </w:tc>
        <w:tc>
          <w:tcPr>
            <w:tcW w:w="282" w:type="dxa"/>
            <w:tcBorders>
              <w:top w:val="nil"/>
              <w:left w:val="nil"/>
              <w:bottom w:val="nil"/>
              <w:right w:val="nil"/>
            </w:tcBorders>
            <w:shd w:val="clear" w:color="auto" w:fill="auto"/>
            <w:noWrap/>
            <w:vAlign w:val="bottom"/>
          </w:tcPr>
          <w:p w:rsidR="00532BB3" w:rsidRPr="00711CDA" w:rsidRDefault="00532BB3" w:rsidP="00A364AF">
            <w:pPr>
              <w:rPr>
                <w:rFonts w:eastAsia="Times New Roman"/>
                <w:color w:val="000000"/>
                <w:sz w:val="20"/>
                <w:szCs w:val="20"/>
                <w:lang w:eastAsia="en-GB"/>
              </w:rPr>
            </w:pPr>
          </w:p>
        </w:tc>
        <w:tc>
          <w:tcPr>
            <w:tcW w:w="2195" w:type="dxa"/>
            <w:vMerge/>
            <w:tcBorders>
              <w:left w:val="single" w:sz="8" w:space="0" w:color="auto"/>
              <w:bottom w:val="single" w:sz="8" w:space="0" w:color="auto"/>
              <w:right w:val="single" w:sz="8" w:space="0" w:color="auto"/>
            </w:tcBorders>
            <w:shd w:val="clear" w:color="000000" w:fill="DCE6F1"/>
            <w:noWrap/>
            <w:vAlign w:val="center"/>
          </w:tcPr>
          <w:p w:rsidR="00532BB3" w:rsidRPr="00711CDA" w:rsidRDefault="00532BB3" w:rsidP="00A364AF">
            <w:pPr>
              <w:rPr>
                <w:rFonts w:eastAsia="Times New Roman"/>
                <w:b/>
                <w:bCs/>
                <w:color w:val="000000"/>
                <w:sz w:val="20"/>
                <w:szCs w:val="20"/>
                <w:lang w:eastAsia="en-GB"/>
              </w:rPr>
            </w:pPr>
          </w:p>
        </w:tc>
        <w:tc>
          <w:tcPr>
            <w:tcW w:w="1334" w:type="dxa"/>
            <w:tcBorders>
              <w:left w:val="nil"/>
              <w:bottom w:val="single" w:sz="8" w:space="0" w:color="auto"/>
              <w:right w:val="single" w:sz="8" w:space="0" w:color="auto"/>
            </w:tcBorders>
            <w:shd w:val="clear" w:color="000000" w:fill="DCE6F1"/>
            <w:noWrap/>
            <w:vAlign w:val="center"/>
          </w:tcPr>
          <w:p w:rsidR="00532BB3" w:rsidRPr="00711CDA" w:rsidRDefault="00532BB3" w:rsidP="00A364AF">
            <w:pPr>
              <w:jc w:val="center"/>
              <w:rPr>
                <w:rFonts w:eastAsia="Times New Roman"/>
                <w:b/>
                <w:bCs/>
                <w:color w:val="000000"/>
                <w:sz w:val="20"/>
                <w:szCs w:val="20"/>
                <w:lang w:eastAsia="en-GB"/>
              </w:rPr>
            </w:pPr>
            <w:r>
              <w:rPr>
                <w:rFonts w:eastAsia="Times New Roman"/>
                <w:b/>
                <w:bCs/>
                <w:color w:val="000000"/>
                <w:sz w:val="20"/>
                <w:szCs w:val="20"/>
                <w:lang w:eastAsia="en-GB"/>
              </w:rPr>
              <w:t>Female</w:t>
            </w:r>
          </w:p>
        </w:tc>
        <w:tc>
          <w:tcPr>
            <w:tcW w:w="1066" w:type="dxa"/>
            <w:tcBorders>
              <w:left w:val="nil"/>
              <w:bottom w:val="single" w:sz="8" w:space="0" w:color="auto"/>
              <w:right w:val="single" w:sz="8" w:space="0" w:color="auto"/>
            </w:tcBorders>
            <w:shd w:val="clear" w:color="000000" w:fill="DCE6F1"/>
            <w:noWrap/>
            <w:vAlign w:val="center"/>
          </w:tcPr>
          <w:p w:rsidR="00532BB3" w:rsidRPr="00711CDA" w:rsidRDefault="00532BB3" w:rsidP="00A364AF">
            <w:pPr>
              <w:jc w:val="center"/>
              <w:rPr>
                <w:rFonts w:eastAsia="Times New Roman"/>
                <w:b/>
                <w:bCs/>
                <w:color w:val="000000"/>
                <w:sz w:val="20"/>
                <w:szCs w:val="20"/>
                <w:lang w:eastAsia="en-GB"/>
              </w:rPr>
            </w:pPr>
            <w:r>
              <w:rPr>
                <w:rFonts w:eastAsia="Times New Roman"/>
                <w:b/>
                <w:bCs/>
                <w:color w:val="000000"/>
                <w:sz w:val="20"/>
                <w:szCs w:val="20"/>
                <w:lang w:eastAsia="en-GB"/>
              </w:rPr>
              <w:t>Male</w:t>
            </w:r>
          </w:p>
        </w:tc>
        <w:tc>
          <w:tcPr>
            <w:tcW w:w="243" w:type="dxa"/>
            <w:tcBorders>
              <w:top w:val="nil"/>
              <w:left w:val="nil"/>
              <w:bottom w:val="nil"/>
              <w:right w:val="nil"/>
            </w:tcBorders>
            <w:shd w:val="clear" w:color="auto" w:fill="auto"/>
            <w:noWrap/>
            <w:vAlign w:val="bottom"/>
          </w:tcPr>
          <w:p w:rsidR="00532BB3" w:rsidRPr="00711CDA" w:rsidRDefault="00532BB3" w:rsidP="00A364AF">
            <w:pPr>
              <w:rPr>
                <w:rFonts w:eastAsia="Times New Roman"/>
                <w:color w:val="000000"/>
                <w:sz w:val="20"/>
                <w:szCs w:val="20"/>
                <w:lang w:eastAsia="en-GB"/>
              </w:rPr>
            </w:pPr>
          </w:p>
        </w:tc>
        <w:tc>
          <w:tcPr>
            <w:tcW w:w="2166" w:type="dxa"/>
            <w:vMerge/>
            <w:tcBorders>
              <w:left w:val="single" w:sz="8" w:space="0" w:color="auto"/>
              <w:bottom w:val="single" w:sz="8" w:space="0" w:color="auto"/>
              <w:right w:val="single" w:sz="8" w:space="0" w:color="auto"/>
            </w:tcBorders>
            <w:shd w:val="clear" w:color="000000" w:fill="DCE6F1"/>
            <w:noWrap/>
            <w:vAlign w:val="center"/>
          </w:tcPr>
          <w:p w:rsidR="00532BB3" w:rsidRPr="00711CDA" w:rsidRDefault="00532BB3" w:rsidP="00A364AF">
            <w:pPr>
              <w:rPr>
                <w:rFonts w:eastAsia="Times New Roman"/>
                <w:b/>
                <w:bCs/>
                <w:color w:val="000000"/>
                <w:sz w:val="20"/>
                <w:szCs w:val="20"/>
                <w:lang w:eastAsia="en-GB"/>
              </w:rPr>
            </w:pPr>
          </w:p>
        </w:tc>
        <w:tc>
          <w:tcPr>
            <w:tcW w:w="1358" w:type="dxa"/>
            <w:tcBorders>
              <w:left w:val="nil"/>
              <w:bottom w:val="single" w:sz="8" w:space="0" w:color="auto"/>
              <w:right w:val="single" w:sz="8" w:space="0" w:color="auto"/>
            </w:tcBorders>
            <w:shd w:val="clear" w:color="000000" w:fill="DCE6F1"/>
            <w:noWrap/>
            <w:vAlign w:val="center"/>
          </w:tcPr>
          <w:p w:rsidR="00532BB3" w:rsidRPr="00711CDA" w:rsidRDefault="00532BB3" w:rsidP="00A364AF">
            <w:pPr>
              <w:jc w:val="center"/>
              <w:rPr>
                <w:rFonts w:eastAsia="Times New Roman"/>
                <w:b/>
                <w:bCs/>
                <w:color w:val="000000"/>
                <w:sz w:val="20"/>
                <w:szCs w:val="20"/>
                <w:lang w:eastAsia="en-GB"/>
              </w:rPr>
            </w:pPr>
            <w:r>
              <w:rPr>
                <w:rFonts w:eastAsia="Times New Roman"/>
                <w:b/>
                <w:bCs/>
                <w:color w:val="000000"/>
                <w:sz w:val="20"/>
                <w:szCs w:val="20"/>
                <w:lang w:eastAsia="en-GB"/>
              </w:rPr>
              <w:t>Female</w:t>
            </w:r>
          </w:p>
        </w:tc>
        <w:tc>
          <w:tcPr>
            <w:tcW w:w="1075" w:type="dxa"/>
            <w:tcBorders>
              <w:left w:val="nil"/>
              <w:bottom w:val="single" w:sz="8" w:space="0" w:color="auto"/>
              <w:right w:val="single" w:sz="8" w:space="0" w:color="auto"/>
            </w:tcBorders>
            <w:shd w:val="clear" w:color="000000" w:fill="DCE6F1"/>
            <w:noWrap/>
            <w:vAlign w:val="center"/>
          </w:tcPr>
          <w:p w:rsidR="00532BB3" w:rsidRPr="00711CDA" w:rsidRDefault="00532BB3" w:rsidP="00A364AF">
            <w:pPr>
              <w:jc w:val="center"/>
              <w:rPr>
                <w:rFonts w:eastAsia="Times New Roman"/>
                <w:b/>
                <w:bCs/>
                <w:color w:val="000000"/>
                <w:sz w:val="20"/>
                <w:szCs w:val="20"/>
                <w:lang w:eastAsia="en-GB"/>
              </w:rPr>
            </w:pPr>
            <w:r>
              <w:rPr>
                <w:rFonts w:eastAsia="Times New Roman"/>
                <w:b/>
                <w:bCs/>
                <w:color w:val="000000"/>
                <w:sz w:val="20"/>
                <w:szCs w:val="20"/>
                <w:lang w:eastAsia="en-GB"/>
              </w:rPr>
              <w:t>Male</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proofErr w:type="spellStart"/>
            <w:r>
              <w:rPr>
                <w:sz w:val="18"/>
                <w:szCs w:val="18"/>
              </w:rPr>
              <w:t>Asst</w:t>
            </w:r>
            <w:proofErr w:type="spellEnd"/>
            <w:r>
              <w:rPr>
                <w:sz w:val="18"/>
                <w:szCs w:val="18"/>
              </w:rPr>
              <w:t xml:space="preserve"> Chief Executive</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£26.85</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£16.72</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proofErr w:type="spellStart"/>
            <w:r>
              <w:rPr>
                <w:sz w:val="18"/>
                <w:szCs w:val="18"/>
              </w:rPr>
              <w:t>Asst</w:t>
            </w:r>
            <w:proofErr w:type="spellEnd"/>
            <w:r>
              <w:rPr>
                <w:sz w:val="18"/>
                <w:szCs w:val="18"/>
              </w:rPr>
              <w:t xml:space="preserve"> Chief Executive</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£41.40</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£12.85</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proofErr w:type="spellStart"/>
            <w:r>
              <w:rPr>
                <w:sz w:val="18"/>
                <w:szCs w:val="18"/>
              </w:rPr>
              <w:t>Asst</w:t>
            </w:r>
            <w:proofErr w:type="spellEnd"/>
            <w:r>
              <w:rPr>
                <w:sz w:val="18"/>
                <w:szCs w:val="18"/>
              </w:rPr>
              <w:t xml:space="preserve"> Chief Executive</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£25.03</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£18.25</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Business Improvement</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£14.19</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£15.56</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Business Improvement</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£14.09</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£15.35</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Business Improvement</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£14.22</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£15.62</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Community Services</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£14.64</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£16.65</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Community Services</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£14.37</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£16.47</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Community Services</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£13.76</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£16.75</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 xml:space="preserve">Community Services Directorate </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£17.81</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£16.97</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 xml:space="preserve">Community Services Directorate </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£17.94</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£17.14</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 xml:space="preserve">Community Services Directorate </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£19.35</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£17.07</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Direct Services</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£13.66</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£14.12</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Direct Services</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£13.75</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£14.35</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Direct Services</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£14.24</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£14.45</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Financial Services</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£16.41</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£16.30</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Financial Services</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£16.61</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£16.37</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Financial Services</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£16.80</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£17.23</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Housing &amp; Property</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£16.68</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£18.93</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Housing &amp; Property</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£16.59</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£19.53</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Housing &amp; Property</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£17.91</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£20.59</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Law &amp; Governance</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£17.86</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£23.91</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Law &amp; Governance</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£19.00</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£20.75</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Law &amp; Governance</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£22.60</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£22.02</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OD &amp; Corporate Services Directorate</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£15.97</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£24.19</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OD &amp; Corporate Services Directorate</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£16.87</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£19.49</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OD &amp; Corporate Services Directorate</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£15.11</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£18.65</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Planning &amp; Regulatory</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£18.52</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£18.77</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Planning &amp; Regulatory</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£18.16</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£18.43</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Planning &amp; Regulatory</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£18.87</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£18.58</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Regeneration &amp; Housing Directorate</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£32.25</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£21.57</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Regeneration &amp; Housing Directorate</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£35.12</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£21.90</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Regeneration &amp; Housing Directorate</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£24.22</w:t>
            </w: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£22.95</w:t>
            </w:r>
          </w:p>
        </w:tc>
      </w:tr>
      <w:tr w:rsidR="00B37391" w:rsidRPr="002A3204"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pPr>
              <w:rPr>
                <w:sz w:val="18"/>
                <w:szCs w:val="18"/>
              </w:rPr>
            </w:pPr>
            <w:r>
              <w:rPr>
                <w:sz w:val="18"/>
                <w:szCs w:val="18"/>
              </w:rPr>
              <w:t>Senior Management</w:t>
            </w:r>
          </w:p>
        </w:tc>
        <w:tc>
          <w:tcPr>
            <w:tcW w:w="135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£59.40</w:t>
            </w:r>
          </w:p>
        </w:tc>
        <w:tc>
          <w:tcPr>
            <w:tcW w:w="1000"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£59.40</w:t>
            </w:r>
          </w:p>
        </w:tc>
        <w:tc>
          <w:tcPr>
            <w:tcW w:w="282"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Senior Management</w:t>
            </w:r>
          </w:p>
        </w:tc>
        <w:tc>
          <w:tcPr>
            <w:tcW w:w="1334"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£60.29</w:t>
            </w:r>
          </w:p>
        </w:tc>
        <w:tc>
          <w:tcPr>
            <w:tcW w:w="1066" w:type="dxa"/>
            <w:tcBorders>
              <w:top w:val="nil"/>
              <w:left w:val="nil"/>
              <w:bottom w:val="single" w:sz="8" w:space="0" w:color="auto"/>
              <w:right w:val="single" w:sz="8" w:space="0" w:color="auto"/>
            </w:tcBorders>
            <w:shd w:val="clear" w:color="auto" w:fill="auto"/>
            <w:noWrap/>
            <w:vAlign w:val="bottom"/>
          </w:tcPr>
          <w:p w:rsidR="00B37391" w:rsidRDefault="00B37391">
            <w:pPr>
              <w:jc w:val="center"/>
              <w:rPr>
                <w:sz w:val="20"/>
                <w:szCs w:val="20"/>
              </w:rPr>
            </w:pPr>
            <w:r>
              <w:rPr>
                <w:sz w:val="20"/>
                <w:szCs w:val="20"/>
              </w:rPr>
              <w:t>£60.29</w:t>
            </w:r>
          </w:p>
        </w:tc>
        <w:tc>
          <w:tcPr>
            <w:tcW w:w="243" w:type="dxa"/>
            <w:tcBorders>
              <w:top w:val="nil"/>
              <w:left w:val="nil"/>
              <w:bottom w:val="nil"/>
              <w:right w:val="nil"/>
            </w:tcBorders>
            <w:shd w:val="clear" w:color="auto" w:fill="auto"/>
            <w:noWrap/>
            <w:vAlign w:val="bottom"/>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B37391" w:rsidRDefault="00B37391" w:rsidP="00A364AF">
            <w:pPr>
              <w:rPr>
                <w:sz w:val="18"/>
                <w:szCs w:val="18"/>
              </w:rPr>
            </w:pPr>
            <w:r>
              <w:rPr>
                <w:sz w:val="18"/>
                <w:szCs w:val="18"/>
              </w:rPr>
              <w:t>Senior Management</w:t>
            </w:r>
          </w:p>
        </w:tc>
        <w:tc>
          <w:tcPr>
            <w:tcW w:w="1358"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p>
        </w:tc>
        <w:tc>
          <w:tcPr>
            <w:tcW w:w="1075" w:type="dxa"/>
            <w:tcBorders>
              <w:top w:val="nil"/>
              <w:left w:val="nil"/>
              <w:bottom w:val="single" w:sz="8" w:space="0" w:color="auto"/>
              <w:right w:val="single" w:sz="8" w:space="0" w:color="auto"/>
            </w:tcBorders>
            <w:shd w:val="clear" w:color="auto" w:fill="auto"/>
            <w:noWrap/>
            <w:vAlign w:val="bottom"/>
          </w:tcPr>
          <w:p w:rsidR="00B37391" w:rsidRDefault="00B37391">
            <w:pPr>
              <w:jc w:val="center"/>
              <w:rPr>
                <w:rFonts w:ascii="Calibri" w:hAnsi="Calibri"/>
                <w:color w:val="000000"/>
                <w:sz w:val="22"/>
                <w:szCs w:val="22"/>
              </w:rPr>
            </w:pPr>
            <w:r>
              <w:rPr>
                <w:rFonts w:ascii="Calibri" w:hAnsi="Calibri"/>
                <w:color w:val="000000"/>
                <w:sz w:val="22"/>
                <w:szCs w:val="22"/>
              </w:rPr>
              <w:t>£70.92</w:t>
            </w:r>
          </w:p>
        </w:tc>
      </w:tr>
      <w:tr w:rsidR="00B37391" w:rsidRPr="00711CDA" w:rsidTr="00B37391">
        <w:trPr>
          <w:trHeight w:val="315"/>
        </w:trPr>
        <w:tc>
          <w:tcPr>
            <w:tcW w:w="2116" w:type="dxa"/>
            <w:tcBorders>
              <w:top w:val="nil"/>
              <w:left w:val="single" w:sz="8" w:space="0" w:color="auto"/>
              <w:bottom w:val="single" w:sz="8" w:space="0" w:color="auto"/>
              <w:right w:val="single" w:sz="8" w:space="0" w:color="auto"/>
            </w:tcBorders>
            <w:shd w:val="clear" w:color="000000" w:fill="DCE6F1"/>
            <w:noWrap/>
            <w:vAlign w:val="center"/>
            <w:hideMark/>
          </w:tcPr>
          <w:p w:rsidR="00B37391" w:rsidRPr="00A21AA8" w:rsidRDefault="00B37391" w:rsidP="00A364AF">
            <w:pPr>
              <w:rPr>
                <w:rFonts w:eastAsia="Times New Roman"/>
                <w:b/>
                <w:bCs/>
                <w:color w:val="000000"/>
                <w:sz w:val="22"/>
                <w:szCs w:val="22"/>
                <w:lang w:eastAsia="en-GB"/>
              </w:rPr>
            </w:pPr>
            <w:r w:rsidRPr="00641135">
              <w:rPr>
                <w:rFonts w:eastAsia="Times New Roman"/>
                <w:b/>
                <w:bCs/>
                <w:color w:val="000000"/>
                <w:sz w:val="20"/>
                <w:szCs w:val="22"/>
                <w:lang w:eastAsia="en-GB"/>
              </w:rPr>
              <w:t>Overall</w:t>
            </w:r>
          </w:p>
        </w:tc>
        <w:tc>
          <w:tcPr>
            <w:tcW w:w="1355" w:type="dxa"/>
            <w:tcBorders>
              <w:top w:val="nil"/>
              <w:left w:val="nil"/>
              <w:bottom w:val="single" w:sz="8" w:space="0" w:color="auto"/>
              <w:right w:val="single" w:sz="8" w:space="0" w:color="auto"/>
            </w:tcBorders>
            <w:shd w:val="clear" w:color="000000" w:fill="DCE6F1"/>
            <w:noWrap/>
            <w:vAlign w:val="center"/>
          </w:tcPr>
          <w:p w:rsidR="00B37391" w:rsidRDefault="00B37391" w:rsidP="00532BB3">
            <w:pPr>
              <w:jc w:val="center"/>
              <w:rPr>
                <w:b/>
                <w:bCs/>
                <w:sz w:val="20"/>
                <w:szCs w:val="20"/>
              </w:rPr>
            </w:pPr>
            <w:r>
              <w:rPr>
                <w:b/>
                <w:bCs/>
                <w:sz w:val="20"/>
                <w:szCs w:val="20"/>
              </w:rPr>
              <w:t>£15.84</w:t>
            </w:r>
          </w:p>
        </w:tc>
        <w:tc>
          <w:tcPr>
            <w:tcW w:w="1000" w:type="dxa"/>
            <w:tcBorders>
              <w:top w:val="nil"/>
              <w:left w:val="nil"/>
              <w:bottom w:val="single" w:sz="8" w:space="0" w:color="auto"/>
              <w:right w:val="single" w:sz="8" w:space="0" w:color="auto"/>
            </w:tcBorders>
            <w:shd w:val="clear" w:color="000000" w:fill="DCE6F1"/>
            <w:noWrap/>
            <w:vAlign w:val="center"/>
          </w:tcPr>
          <w:p w:rsidR="00B37391" w:rsidRDefault="00B37391" w:rsidP="00532BB3">
            <w:pPr>
              <w:jc w:val="center"/>
              <w:rPr>
                <w:b/>
                <w:bCs/>
                <w:sz w:val="20"/>
                <w:szCs w:val="20"/>
              </w:rPr>
            </w:pPr>
            <w:r>
              <w:rPr>
                <w:b/>
                <w:bCs/>
                <w:sz w:val="20"/>
                <w:szCs w:val="20"/>
              </w:rPr>
              <w:t>£15.36</w:t>
            </w:r>
          </w:p>
        </w:tc>
        <w:tc>
          <w:tcPr>
            <w:tcW w:w="282" w:type="dxa"/>
            <w:tcBorders>
              <w:top w:val="nil"/>
              <w:left w:val="nil"/>
              <w:bottom w:val="nil"/>
              <w:right w:val="nil"/>
            </w:tcBorders>
            <w:shd w:val="clear" w:color="auto" w:fill="auto"/>
            <w:noWrap/>
            <w:vAlign w:val="bottom"/>
            <w:hideMark/>
          </w:tcPr>
          <w:p w:rsidR="00B37391" w:rsidRPr="00711CDA" w:rsidRDefault="00B37391"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000000" w:fill="DCE6F1"/>
            <w:noWrap/>
            <w:vAlign w:val="center"/>
            <w:hideMark/>
          </w:tcPr>
          <w:p w:rsidR="00B37391" w:rsidRPr="00711CDA" w:rsidRDefault="00B37391" w:rsidP="00A364AF">
            <w:pPr>
              <w:rPr>
                <w:rFonts w:eastAsia="Times New Roman"/>
                <w:b/>
                <w:bCs/>
                <w:color w:val="000000"/>
                <w:sz w:val="20"/>
                <w:szCs w:val="20"/>
                <w:lang w:eastAsia="en-GB"/>
              </w:rPr>
            </w:pPr>
            <w:r>
              <w:rPr>
                <w:rFonts w:eastAsia="Times New Roman"/>
                <w:b/>
                <w:bCs/>
                <w:color w:val="000000"/>
                <w:sz w:val="20"/>
                <w:szCs w:val="20"/>
                <w:lang w:eastAsia="en-GB"/>
              </w:rPr>
              <w:t>Overall</w:t>
            </w:r>
          </w:p>
        </w:tc>
        <w:tc>
          <w:tcPr>
            <w:tcW w:w="1334" w:type="dxa"/>
            <w:tcBorders>
              <w:top w:val="nil"/>
              <w:left w:val="nil"/>
              <w:bottom w:val="single" w:sz="8" w:space="0" w:color="auto"/>
              <w:right w:val="single" w:sz="8" w:space="0" w:color="auto"/>
            </w:tcBorders>
            <w:shd w:val="clear" w:color="000000" w:fill="DCE6F1"/>
            <w:noWrap/>
            <w:vAlign w:val="center"/>
          </w:tcPr>
          <w:p w:rsidR="00B37391" w:rsidRDefault="00B37391" w:rsidP="00B37391">
            <w:pPr>
              <w:jc w:val="center"/>
              <w:rPr>
                <w:b/>
                <w:bCs/>
                <w:sz w:val="20"/>
                <w:szCs w:val="20"/>
              </w:rPr>
            </w:pPr>
            <w:r>
              <w:rPr>
                <w:b/>
                <w:bCs/>
                <w:sz w:val="20"/>
                <w:szCs w:val="20"/>
              </w:rPr>
              <w:t>£15.90</w:t>
            </w:r>
          </w:p>
        </w:tc>
        <w:tc>
          <w:tcPr>
            <w:tcW w:w="1066" w:type="dxa"/>
            <w:tcBorders>
              <w:top w:val="nil"/>
              <w:left w:val="nil"/>
              <w:bottom w:val="single" w:sz="8" w:space="0" w:color="auto"/>
              <w:right w:val="single" w:sz="8" w:space="0" w:color="auto"/>
            </w:tcBorders>
            <w:shd w:val="clear" w:color="000000" w:fill="DCE6F1"/>
            <w:noWrap/>
            <w:vAlign w:val="center"/>
          </w:tcPr>
          <w:p w:rsidR="00B37391" w:rsidRDefault="00B37391" w:rsidP="00B37391">
            <w:pPr>
              <w:jc w:val="center"/>
              <w:rPr>
                <w:b/>
                <w:bCs/>
                <w:sz w:val="20"/>
                <w:szCs w:val="20"/>
              </w:rPr>
            </w:pPr>
            <w:r>
              <w:rPr>
                <w:b/>
                <w:bCs/>
                <w:sz w:val="20"/>
                <w:szCs w:val="20"/>
              </w:rPr>
              <w:t>£15.42</w:t>
            </w:r>
          </w:p>
        </w:tc>
        <w:tc>
          <w:tcPr>
            <w:tcW w:w="243" w:type="dxa"/>
            <w:tcBorders>
              <w:top w:val="nil"/>
              <w:left w:val="nil"/>
              <w:bottom w:val="nil"/>
              <w:right w:val="nil"/>
            </w:tcBorders>
            <w:shd w:val="clear" w:color="auto" w:fill="auto"/>
            <w:noWrap/>
            <w:vAlign w:val="bottom"/>
            <w:hideMark/>
          </w:tcPr>
          <w:p w:rsidR="00B37391" w:rsidRPr="00711CDA" w:rsidRDefault="00B37391"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000000" w:fill="DCE6F1"/>
            <w:noWrap/>
            <w:vAlign w:val="center"/>
            <w:hideMark/>
          </w:tcPr>
          <w:p w:rsidR="00B37391" w:rsidRPr="00711CDA" w:rsidRDefault="00B37391" w:rsidP="00A364AF">
            <w:pPr>
              <w:rPr>
                <w:rFonts w:eastAsia="Times New Roman"/>
                <w:b/>
                <w:bCs/>
                <w:color w:val="000000"/>
                <w:sz w:val="20"/>
                <w:szCs w:val="20"/>
                <w:lang w:eastAsia="en-GB"/>
              </w:rPr>
            </w:pPr>
            <w:r>
              <w:rPr>
                <w:rFonts w:eastAsia="Times New Roman"/>
                <w:b/>
                <w:bCs/>
                <w:color w:val="000000"/>
                <w:sz w:val="20"/>
                <w:szCs w:val="20"/>
                <w:lang w:eastAsia="en-GB"/>
              </w:rPr>
              <w:t>Overall</w:t>
            </w:r>
          </w:p>
        </w:tc>
        <w:tc>
          <w:tcPr>
            <w:tcW w:w="1358" w:type="dxa"/>
            <w:tcBorders>
              <w:top w:val="nil"/>
              <w:left w:val="nil"/>
              <w:bottom w:val="single" w:sz="8" w:space="0" w:color="auto"/>
              <w:right w:val="single" w:sz="8" w:space="0" w:color="auto"/>
            </w:tcBorders>
            <w:shd w:val="clear" w:color="000000" w:fill="DCE6F1"/>
            <w:noWrap/>
            <w:vAlign w:val="center"/>
          </w:tcPr>
          <w:p w:rsidR="00B37391" w:rsidRDefault="00B37391" w:rsidP="00B37391">
            <w:pPr>
              <w:jc w:val="center"/>
              <w:rPr>
                <w:rFonts w:ascii="Calibri" w:hAnsi="Calibri"/>
                <w:b/>
                <w:bCs/>
                <w:color w:val="000000"/>
                <w:sz w:val="22"/>
                <w:szCs w:val="22"/>
              </w:rPr>
            </w:pPr>
            <w:r>
              <w:rPr>
                <w:rFonts w:ascii="Calibri" w:hAnsi="Calibri"/>
                <w:b/>
                <w:bCs/>
                <w:color w:val="000000"/>
                <w:sz w:val="22"/>
                <w:szCs w:val="22"/>
              </w:rPr>
              <w:t>£16.24</w:t>
            </w:r>
          </w:p>
        </w:tc>
        <w:tc>
          <w:tcPr>
            <w:tcW w:w="1075" w:type="dxa"/>
            <w:tcBorders>
              <w:top w:val="nil"/>
              <w:left w:val="nil"/>
              <w:bottom w:val="single" w:sz="8" w:space="0" w:color="auto"/>
              <w:right w:val="single" w:sz="8" w:space="0" w:color="auto"/>
            </w:tcBorders>
            <w:shd w:val="clear" w:color="000000" w:fill="DCE6F1"/>
            <w:noWrap/>
            <w:vAlign w:val="center"/>
          </w:tcPr>
          <w:p w:rsidR="00B37391" w:rsidRDefault="00B37391" w:rsidP="00B37391">
            <w:pPr>
              <w:jc w:val="center"/>
              <w:rPr>
                <w:rFonts w:ascii="Calibri" w:hAnsi="Calibri"/>
                <w:b/>
                <w:bCs/>
                <w:color w:val="000000"/>
                <w:sz w:val="22"/>
                <w:szCs w:val="22"/>
              </w:rPr>
            </w:pPr>
            <w:r>
              <w:rPr>
                <w:rFonts w:ascii="Calibri" w:hAnsi="Calibri"/>
                <w:b/>
                <w:bCs/>
                <w:color w:val="000000"/>
                <w:sz w:val="22"/>
                <w:szCs w:val="22"/>
              </w:rPr>
              <w:t>£15.66</w:t>
            </w:r>
          </w:p>
        </w:tc>
      </w:tr>
    </w:tbl>
    <w:p w:rsidR="00A67A23" w:rsidRDefault="00A67A23" w:rsidP="008A22C6">
      <w:pPr>
        <w:rPr>
          <w:szCs w:val="22"/>
        </w:rPr>
      </w:pPr>
    </w:p>
    <w:tbl>
      <w:tblPr>
        <w:tblW w:w="14190" w:type="dxa"/>
        <w:tblInd w:w="93" w:type="dxa"/>
        <w:tblLook w:val="04A0" w:firstRow="1" w:lastRow="0" w:firstColumn="1" w:lastColumn="0" w:noHBand="0" w:noVBand="1"/>
      </w:tblPr>
      <w:tblGrid>
        <w:gridCol w:w="2116"/>
        <w:gridCol w:w="1355"/>
        <w:gridCol w:w="1000"/>
        <w:gridCol w:w="282"/>
        <w:gridCol w:w="2195"/>
        <w:gridCol w:w="1334"/>
        <w:gridCol w:w="1066"/>
        <w:gridCol w:w="243"/>
        <w:gridCol w:w="2166"/>
        <w:gridCol w:w="1358"/>
        <w:gridCol w:w="1075"/>
      </w:tblGrid>
      <w:tr w:rsidR="00390846" w:rsidRPr="002A3204" w:rsidTr="00390846">
        <w:trPr>
          <w:trHeight w:val="315"/>
        </w:trPr>
        <w:tc>
          <w:tcPr>
            <w:tcW w:w="2116"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tcPr>
          <w:p w:rsidR="00390846" w:rsidRDefault="00390846">
            <w:pPr>
              <w:rPr>
                <w:rFonts w:ascii="Calibri" w:hAnsi="Calibri"/>
                <w:b/>
                <w:bCs/>
                <w:color w:val="000000"/>
                <w:sz w:val="22"/>
                <w:szCs w:val="22"/>
              </w:rPr>
            </w:pPr>
            <w:r>
              <w:rPr>
                <w:rFonts w:ascii="Calibri" w:hAnsi="Calibri"/>
                <w:b/>
                <w:bCs/>
                <w:color w:val="000000"/>
                <w:sz w:val="22"/>
                <w:szCs w:val="22"/>
              </w:rPr>
              <w:t>Female Salary Average</w:t>
            </w:r>
          </w:p>
        </w:tc>
        <w:tc>
          <w:tcPr>
            <w:tcW w:w="1355" w:type="dxa"/>
            <w:tcBorders>
              <w:top w:val="single" w:sz="8" w:space="0" w:color="auto"/>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£29,848</w:t>
            </w:r>
          </w:p>
        </w:tc>
        <w:tc>
          <w:tcPr>
            <w:tcW w:w="1000" w:type="dxa"/>
            <w:tcBorders>
              <w:top w:val="single" w:sz="8" w:space="0" w:color="auto"/>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£15.47</w:t>
            </w:r>
          </w:p>
        </w:tc>
        <w:tc>
          <w:tcPr>
            <w:tcW w:w="282" w:type="dxa"/>
            <w:tcBorders>
              <w:left w:val="nil"/>
              <w:bottom w:val="nil"/>
              <w:right w:val="nil"/>
            </w:tcBorders>
            <w:shd w:val="clear" w:color="auto" w:fill="auto"/>
            <w:noWrap/>
            <w:vAlign w:val="bottom"/>
          </w:tcPr>
          <w:p w:rsidR="00390846" w:rsidRPr="00711CDA" w:rsidRDefault="00390846" w:rsidP="00A364AF">
            <w:pPr>
              <w:rPr>
                <w:rFonts w:eastAsia="Times New Roman"/>
                <w:color w:val="000000"/>
                <w:sz w:val="20"/>
                <w:szCs w:val="20"/>
                <w:lang w:eastAsia="en-GB"/>
              </w:rPr>
            </w:pPr>
          </w:p>
        </w:tc>
        <w:tc>
          <w:tcPr>
            <w:tcW w:w="219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tcPr>
          <w:p w:rsidR="00390846" w:rsidRDefault="00390846">
            <w:pPr>
              <w:rPr>
                <w:rFonts w:ascii="Calibri" w:hAnsi="Calibri"/>
                <w:b/>
                <w:bCs/>
                <w:color w:val="000000"/>
                <w:sz w:val="22"/>
                <w:szCs w:val="22"/>
              </w:rPr>
            </w:pPr>
            <w:r>
              <w:rPr>
                <w:rFonts w:ascii="Calibri" w:hAnsi="Calibri"/>
                <w:b/>
                <w:bCs/>
                <w:color w:val="000000"/>
                <w:sz w:val="22"/>
                <w:szCs w:val="22"/>
              </w:rPr>
              <w:t>Female Salary Average</w:t>
            </w:r>
          </w:p>
        </w:tc>
        <w:tc>
          <w:tcPr>
            <w:tcW w:w="1334" w:type="dxa"/>
            <w:tcBorders>
              <w:top w:val="single" w:sz="8" w:space="0" w:color="auto"/>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£29,918</w:t>
            </w:r>
          </w:p>
        </w:tc>
        <w:tc>
          <w:tcPr>
            <w:tcW w:w="1066" w:type="dxa"/>
            <w:tcBorders>
              <w:top w:val="single" w:sz="8" w:space="0" w:color="auto"/>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£15.51</w:t>
            </w:r>
          </w:p>
        </w:tc>
        <w:tc>
          <w:tcPr>
            <w:tcW w:w="243" w:type="dxa"/>
            <w:tcBorders>
              <w:left w:val="nil"/>
              <w:bottom w:val="nil"/>
              <w:right w:val="nil"/>
            </w:tcBorders>
            <w:shd w:val="clear" w:color="auto" w:fill="auto"/>
            <w:noWrap/>
            <w:vAlign w:val="bottom"/>
          </w:tcPr>
          <w:p w:rsidR="00390846" w:rsidRPr="00711CDA" w:rsidRDefault="00390846" w:rsidP="00A364AF">
            <w:pPr>
              <w:rPr>
                <w:rFonts w:eastAsia="Times New Roman"/>
                <w:color w:val="000000"/>
                <w:sz w:val="20"/>
                <w:szCs w:val="20"/>
                <w:lang w:eastAsia="en-GB"/>
              </w:rPr>
            </w:pPr>
          </w:p>
        </w:tc>
        <w:tc>
          <w:tcPr>
            <w:tcW w:w="2166"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tcPr>
          <w:p w:rsidR="00390846" w:rsidRDefault="00390846">
            <w:pPr>
              <w:rPr>
                <w:rFonts w:ascii="Calibri" w:hAnsi="Calibri"/>
                <w:b/>
                <w:bCs/>
                <w:color w:val="000000"/>
                <w:sz w:val="22"/>
                <w:szCs w:val="22"/>
              </w:rPr>
            </w:pPr>
            <w:r>
              <w:rPr>
                <w:rFonts w:ascii="Calibri" w:hAnsi="Calibri"/>
                <w:b/>
                <w:bCs/>
                <w:color w:val="000000"/>
                <w:sz w:val="22"/>
                <w:szCs w:val="22"/>
              </w:rPr>
              <w:t>Female Salary Average</w:t>
            </w:r>
          </w:p>
        </w:tc>
        <w:tc>
          <w:tcPr>
            <w:tcW w:w="1358" w:type="dxa"/>
            <w:tcBorders>
              <w:top w:val="single" w:sz="8" w:space="0" w:color="auto"/>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£30,403</w:t>
            </w:r>
          </w:p>
        </w:tc>
        <w:tc>
          <w:tcPr>
            <w:tcW w:w="1075" w:type="dxa"/>
            <w:tcBorders>
              <w:top w:val="single" w:sz="8" w:space="0" w:color="auto"/>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£15.76</w:t>
            </w:r>
          </w:p>
        </w:tc>
      </w:tr>
      <w:tr w:rsidR="00390846" w:rsidRPr="002A3204" w:rsidTr="00390846">
        <w:trPr>
          <w:trHeight w:val="315"/>
        </w:trPr>
        <w:tc>
          <w:tcPr>
            <w:tcW w:w="2116"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tcPr>
          <w:p w:rsidR="00390846" w:rsidRDefault="00390846">
            <w:pPr>
              <w:rPr>
                <w:rFonts w:ascii="Calibri" w:hAnsi="Calibri"/>
                <w:b/>
                <w:bCs/>
                <w:color w:val="000000"/>
                <w:sz w:val="22"/>
                <w:szCs w:val="22"/>
              </w:rPr>
            </w:pPr>
            <w:r>
              <w:rPr>
                <w:rFonts w:ascii="Calibri" w:hAnsi="Calibri"/>
                <w:b/>
                <w:bCs/>
                <w:color w:val="000000"/>
                <w:sz w:val="22"/>
                <w:szCs w:val="22"/>
              </w:rPr>
              <w:t>Male Salary Average</w:t>
            </w:r>
          </w:p>
        </w:tc>
        <w:tc>
          <w:tcPr>
            <w:tcW w:w="1355" w:type="dxa"/>
            <w:tcBorders>
              <w:top w:val="nil"/>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£29,773</w:t>
            </w:r>
          </w:p>
        </w:tc>
        <w:tc>
          <w:tcPr>
            <w:tcW w:w="1000" w:type="dxa"/>
            <w:tcBorders>
              <w:top w:val="nil"/>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£15.43</w:t>
            </w:r>
          </w:p>
        </w:tc>
        <w:tc>
          <w:tcPr>
            <w:tcW w:w="282" w:type="dxa"/>
            <w:tcBorders>
              <w:top w:val="nil"/>
              <w:left w:val="nil"/>
              <w:bottom w:val="nil"/>
              <w:right w:val="nil"/>
            </w:tcBorders>
            <w:shd w:val="clear" w:color="auto" w:fill="auto"/>
            <w:noWrap/>
            <w:vAlign w:val="bottom"/>
          </w:tcPr>
          <w:p w:rsidR="00390846" w:rsidRPr="00711CDA" w:rsidRDefault="00390846" w:rsidP="00A364AF">
            <w:pPr>
              <w:rPr>
                <w:rFonts w:eastAsia="Times New Roman"/>
                <w:color w:val="000000"/>
                <w:sz w:val="20"/>
                <w:szCs w:val="20"/>
                <w:lang w:eastAsia="en-GB"/>
              </w:rPr>
            </w:pPr>
          </w:p>
        </w:tc>
        <w:tc>
          <w:tcPr>
            <w:tcW w:w="2195"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tcPr>
          <w:p w:rsidR="00390846" w:rsidRDefault="00390846">
            <w:pPr>
              <w:rPr>
                <w:rFonts w:ascii="Calibri" w:hAnsi="Calibri"/>
                <w:b/>
                <w:bCs/>
                <w:color w:val="000000"/>
                <w:sz w:val="22"/>
                <w:szCs w:val="22"/>
              </w:rPr>
            </w:pPr>
            <w:r>
              <w:rPr>
                <w:rFonts w:ascii="Calibri" w:hAnsi="Calibri"/>
                <w:b/>
                <w:bCs/>
                <w:color w:val="000000"/>
                <w:sz w:val="22"/>
                <w:szCs w:val="22"/>
              </w:rPr>
              <w:t>Male Salary Average</w:t>
            </w:r>
          </w:p>
        </w:tc>
        <w:tc>
          <w:tcPr>
            <w:tcW w:w="1334" w:type="dxa"/>
            <w:tcBorders>
              <w:top w:val="nil"/>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£29,802</w:t>
            </w:r>
          </w:p>
        </w:tc>
        <w:tc>
          <w:tcPr>
            <w:tcW w:w="1066" w:type="dxa"/>
            <w:tcBorders>
              <w:top w:val="nil"/>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£15.45</w:t>
            </w:r>
          </w:p>
        </w:tc>
        <w:tc>
          <w:tcPr>
            <w:tcW w:w="243" w:type="dxa"/>
            <w:tcBorders>
              <w:top w:val="nil"/>
              <w:left w:val="nil"/>
              <w:bottom w:val="nil"/>
              <w:right w:val="nil"/>
            </w:tcBorders>
            <w:shd w:val="clear" w:color="auto" w:fill="auto"/>
            <w:noWrap/>
            <w:vAlign w:val="bottom"/>
          </w:tcPr>
          <w:p w:rsidR="00390846" w:rsidRPr="00711CDA" w:rsidRDefault="00390846" w:rsidP="00A364AF">
            <w:pPr>
              <w:rPr>
                <w:rFonts w:eastAsia="Times New Roman"/>
                <w:color w:val="000000"/>
                <w:sz w:val="20"/>
                <w:szCs w:val="20"/>
                <w:lang w:eastAsia="en-GB"/>
              </w:rPr>
            </w:pPr>
          </w:p>
        </w:tc>
        <w:tc>
          <w:tcPr>
            <w:tcW w:w="2166"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tcPr>
          <w:p w:rsidR="00390846" w:rsidRDefault="00390846">
            <w:pPr>
              <w:rPr>
                <w:rFonts w:ascii="Calibri" w:hAnsi="Calibri"/>
                <w:b/>
                <w:bCs/>
                <w:color w:val="000000"/>
                <w:sz w:val="22"/>
                <w:szCs w:val="22"/>
              </w:rPr>
            </w:pPr>
            <w:r>
              <w:rPr>
                <w:rFonts w:ascii="Calibri" w:hAnsi="Calibri"/>
                <w:b/>
                <w:bCs/>
                <w:color w:val="000000"/>
                <w:sz w:val="22"/>
                <w:szCs w:val="22"/>
              </w:rPr>
              <w:t>Male Salary Average</w:t>
            </w:r>
          </w:p>
        </w:tc>
        <w:tc>
          <w:tcPr>
            <w:tcW w:w="1358" w:type="dxa"/>
            <w:tcBorders>
              <w:top w:val="nil"/>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£30,256</w:t>
            </w:r>
          </w:p>
        </w:tc>
        <w:tc>
          <w:tcPr>
            <w:tcW w:w="1075" w:type="dxa"/>
            <w:tcBorders>
              <w:top w:val="nil"/>
              <w:left w:val="nil"/>
              <w:bottom w:val="single" w:sz="8" w:space="0" w:color="auto"/>
              <w:right w:val="single" w:sz="8" w:space="0" w:color="auto"/>
            </w:tcBorders>
            <w:shd w:val="clear" w:color="auto" w:fill="auto"/>
            <w:noWrap/>
            <w:vAlign w:val="bottom"/>
          </w:tcPr>
          <w:p w:rsidR="00390846" w:rsidRDefault="00390846">
            <w:pPr>
              <w:jc w:val="center"/>
              <w:rPr>
                <w:rFonts w:ascii="Calibri" w:hAnsi="Calibri"/>
                <w:color w:val="000000"/>
                <w:sz w:val="22"/>
                <w:szCs w:val="22"/>
              </w:rPr>
            </w:pPr>
            <w:r>
              <w:rPr>
                <w:rFonts w:ascii="Calibri" w:hAnsi="Calibri"/>
                <w:color w:val="000000"/>
                <w:sz w:val="22"/>
                <w:szCs w:val="22"/>
              </w:rPr>
              <w:t>£15.68</w:t>
            </w:r>
          </w:p>
        </w:tc>
      </w:tr>
    </w:tbl>
    <w:p w:rsidR="00A67A23" w:rsidRDefault="00A67A23" w:rsidP="008A22C6">
      <w:pPr>
        <w:rPr>
          <w:szCs w:val="22"/>
        </w:rPr>
      </w:pPr>
    </w:p>
    <w:p w:rsidR="00A364AF" w:rsidRDefault="00A364AF" w:rsidP="008A22C6">
      <w:pPr>
        <w:rPr>
          <w:szCs w:val="22"/>
        </w:rPr>
      </w:pPr>
    </w:p>
    <w:p w:rsidR="00A364AF" w:rsidRDefault="00A364AF">
      <w:pPr>
        <w:rPr>
          <w:szCs w:val="22"/>
        </w:rPr>
      </w:pPr>
      <w:r>
        <w:rPr>
          <w:szCs w:val="22"/>
        </w:rPr>
        <w:br w:type="page"/>
      </w:r>
    </w:p>
    <w:p w:rsidR="00A364AF" w:rsidRDefault="00A364AF" w:rsidP="00A364AF">
      <w:pPr>
        <w:rPr>
          <w:b/>
          <w:szCs w:val="22"/>
        </w:rPr>
      </w:pPr>
      <w:r>
        <w:rPr>
          <w:b/>
          <w:szCs w:val="22"/>
        </w:rPr>
        <w:lastRenderedPageBreak/>
        <w:t>EQUAL PAY/</w:t>
      </w:r>
      <w:r w:rsidR="00FA5343">
        <w:rPr>
          <w:b/>
          <w:szCs w:val="22"/>
        </w:rPr>
        <w:t>”</w:t>
      </w:r>
      <w:r>
        <w:rPr>
          <w:b/>
          <w:szCs w:val="22"/>
        </w:rPr>
        <w:t>GENDER PAY GAP</w:t>
      </w:r>
      <w:r w:rsidR="00FA5343">
        <w:rPr>
          <w:b/>
          <w:szCs w:val="22"/>
        </w:rPr>
        <w:t>”</w:t>
      </w:r>
      <w:r>
        <w:rPr>
          <w:b/>
          <w:szCs w:val="22"/>
        </w:rPr>
        <w:t xml:space="preserve"> (PART-TIME)</w:t>
      </w:r>
    </w:p>
    <w:p w:rsidR="00A364AF" w:rsidRPr="003B03DB" w:rsidRDefault="00A364AF" w:rsidP="00A364AF">
      <w:pPr>
        <w:rPr>
          <w:b/>
          <w:sz w:val="14"/>
          <w:szCs w:val="22"/>
        </w:rPr>
      </w:pPr>
    </w:p>
    <w:tbl>
      <w:tblPr>
        <w:tblW w:w="14190" w:type="dxa"/>
        <w:tblInd w:w="93" w:type="dxa"/>
        <w:tblLook w:val="04A0" w:firstRow="1" w:lastRow="0" w:firstColumn="1" w:lastColumn="0" w:noHBand="0" w:noVBand="1"/>
      </w:tblPr>
      <w:tblGrid>
        <w:gridCol w:w="2116"/>
        <w:gridCol w:w="1355"/>
        <w:gridCol w:w="1000"/>
        <w:gridCol w:w="282"/>
        <w:gridCol w:w="2195"/>
        <w:gridCol w:w="1334"/>
        <w:gridCol w:w="1066"/>
        <w:gridCol w:w="243"/>
        <w:gridCol w:w="2166"/>
        <w:gridCol w:w="1358"/>
        <w:gridCol w:w="1075"/>
      </w:tblGrid>
      <w:tr w:rsidR="00A364AF" w:rsidRPr="00D27E5B" w:rsidTr="00A364AF">
        <w:trPr>
          <w:trHeight w:val="315"/>
        </w:trPr>
        <w:tc>
          <w:tcPr>
            <w:tcW w:w="4471" w:type="dxa"/>
            <w:gridSpan w:val="3"/>
            <w:tcBorders>
              <w:top w:val="nil"/>
              <w:left w:val="nil"/>
              <w:bottom w:val="nil"/>
              <w:right w:val="nil"/>
            </w:tcBorders>
            <w:shd w:val="clear" w:color="auto" w:fill="auto"/>
            <w:noWrap/>
            <w:vAlign w:val="bottom"/>
            <w:hideMark/>
          </w:tcPr>
          <w:p w:rsidR="00A364AF" w:rsidRPr="00A21AA8" w:rsidRDefault="00A364AF" w:rsidP="00A364AF">
            <w:pPr>
              <w:rPr>
                <w:rFonts w:eastAsia="Times New Roman"/>
                <w:b/>
                <w:bCs/>
                <w:color w:val="000000"/>
                <w:sz w:val="22"/>
                <w:szCs w:val="22"/>
                <w:lang w:eastAsia="en-GB"/>
              </w:rPr>
            </w:pPr>
            <w:r>
              <w:rPr>
                <w:rFonts w:eastAsia="Times New Roman"/>
                <w:b/>
                <w:bCs/>
                <w:color w:val="000000"/>
                <w:sz w:val="22"/>
                <w:szCs w:val="22"/>
                <w:lang w:eastAsia="en-GB"/>
              </w:rPr>
              <w:t>As at 31 March</w:t>
            </w:r>
            <w:r w:rsidRPr="00CA74BC">
              <w:rPr>
                <w:rFonts w:eastAsia="Times New Roman"/>
                <w:b/>
                <w:bCs/>
                <w:color w:val="000000"/>
                <w:sz w:val="22"/>
                <w:szCs w:val="22"/>
                <w:lang w:eastAsia="en-GB"/>
              </w:rPr>
              <w:t xml:space="preserve"> 2016</w:t>
            </w:r>
          </w:p>
        </w:tc>
        <w:tc>
          <w:tcPr>
            <w:tcW w:w="282" w:type="dxa"/>
            <w:tcBorders>
              <w:top w:val="nil"/>
              <w:left w:val="nil"/>
              <w:bottom w:val="nil"/>
              <w:right w:val="nil"/>
            </w:tcBorders>
            <w:shd w:val="clear" w:color="auto" w:fill="auto"/>
            <w:noWrap/>
            <w:vAlign w:val="bottom"/>
            <w:hideMark/>
          </w:tcPr>
          <w:p w:rsidR="00A364AF" w:rsidRPr="00A21AA8" w:rsidRDefault="00A364AF" w:rsidP="00A364AF">
            <w:pPr>
              <w:rPr>
                <w:rFonts w:eastAsia="Times New Roman"/>
                <w:color w:val="000000"/>
                <w:sz w:val="22"/>
                <w:szCs w:val="22"/>
                <w:lang w:eastAsia="en-GB"/>
              </w:rPr>
            </w:pPr>
          </w:p>
        </w:tc>
        <w:tc>
          <w:tcPr>
            <w:tcW w:w="4595" w:type="dxa"/>
            <w:gridSpan w:val="3"/>
            <w:tcBorders>
              <w:top w:val="nil"/>
              <w:left w:val="nil"/>
              <w:bottom w:val="nil"/>
              <w:right w:val="nil"/>
            </w:tcBorders>
            <w:shd w:val="clear" w:color="auto" w:fill="auto"/>
            <w:noWrap/>
            <w:vAlign w:val="bottom"/>
            <w:hideMark/>
          </w:tcPr>
          <w:p w:rsidR="00A364AF" w:rsidRPr="00D27E5B" w:rsidRDefault="00A364AF" w:rsidP="00A364AF">
            <w:pPr>
              <w:rPr>
                <w:rFonts w:eastAsia="Times New Roman"/>
                <w:b/>
                <w:bCs/>
                <w:color w:val="000000"/>
                <w:sz w:val="22"/>
                <w:szCs w:val="22"/>
                <w:lang w:eastAsia="en-GB"/>
              </w:rPr>
            </w:pPr>
            <w:r w:rsidRPr="00CA74BC">
              <w:rPr>
                <w:rFonts w:eastAsia="Times New Roman"/>
                <w:b/>
                <w:bCs/>
                <w:color w:val="000000"/>
                <w:sz w:val="22"/>
                <w:szCs w:val="22"/>
                <w:lang w:eastAsia="en-GB"/>
              </w:rPr>
              <w:t>As at 31 March 2017</w:t>
            </w:r>
          </w:p>
        </w:tc>
        <w:tc>
          <w:tcPr>
            <w:tcW w:w="243" w:type="dxa"/>
            <w:tcBorders>
              <w:top w:val="nil"/>
              <w:left w:val="nil"/>
              <w:bottom w:val="nil"/>
              <w:right w:val="nil"/>
            </w:tcBorders>
            <w:shd w:val="clear" w:color="auto" w:fill="auto"/>
            <w:noWrap/>
            <w:vAlign w:val="bottom"/>
            <w:hideMark/>
          </w:tcPr>
          <w:p w:rsidR="00A364AF" w:rsidRPr="00A21AA8" w:rsidRDefault="00A364AF" w:rsidP="00A364AF">
            <w:pPr>
              <w:rPr>
                <w:rFonts w:eastAsia="Times New Roman"/>
                <w:color w:val="000000"/>
                <w:sz w:val="22"/>
                <w:szCs w:val="22"/>
                <w:lang w:eastAsia="en-GB"/>
              </w:rPr>
            </w:pPr>
          </w:p>
        </w:tc>
        <w:tc>
          <w:tcPr>
            <w:tcW w:w="4599" w:type="dxa"/>
            <w:gridSpan w:val="3"/>
            <w:tcBorders>
              <w:top w:val="nil"/>
              <w:left w:val="nil"/>
              <w:bottom w:val="nil"/>
              <w:right w:val="nil"/>
            </w:tcBorders>
            <w:shd w:val="clear" w:color="auto" w:fill="auto"/>
            <w:noWrap/>
            <w:vAlign w:val="bottom"/>
            <w:hideMark/>
          </w:tcPr>
          <w:p w:rsidR="00A364AF" w:rsidRPr="00D27E5B" w:rsidRDefault="00A364AF" w:rsidP="00A364AF">
            <w:pPr>
              <w:rPr>
                <w:rFonts w:eastAsia="Times New Roman"/>
                <w:b/>
                <w:bCs/>
                <w:color w:val="000000"/>
                <w:sz w:val="22"/>
                <w:szCs w:val="22"/>
                <w:lang w:eastAsia="en-GB"/>
              </w:rPr>
            </w:pPr>
            <w:r w:rsidRPr="00CA74BC">
              <w:rPr>
                <w:rFonts w:eastAsia="Times New Roman"/>
                <w:b/>
                <w:bCs/>
                <w:color w:val="000000"/>
                <w:sz w:val="22"/>
                <w:szCs w:val="22"/>
                <w:lang w:eastAsia="en-GB"/>
              </w:rPr>
              <w:t>As at 31 March 2018</w:t>
            </w:r>
          </w:p>
        </w:tc>
      </w:tr>
      <w:tr w:rsidR="00A364AF" w:rsidRPr="00A21AA8" w:rsidTr="00A364AF">
        <w:trPr>
          <w:trHeight w:val="315"/>
        </w:trPr>
        <w:tc>
          <w:tcPr>
            <w:tcW w:w="2116" w:type="dxa"/>
            <w:tcBorders>
              <w:top w:val="nil"/>
              <w:left w:val="nil"/>
              <w:bottom w:val="nil"/>
              <w:right w:val="nil"/>
            </w:tcBorders>
            <w:shd w:val="clear" w:color="auto" w:fill="auto"/>
            <w:noWrap/>
            <w:vAlign w:val="bottom"/>
            <w:hideMark/>
          </w:tcPr>
          <w:p w:rsidR="00A364AF" w:rsidRPr="003B03DB" w:rsidRDefault="00A364AF" w:rsidP="00A364AF">
            <w:pPr>
              <w:rPr>
                <w:rFonts w:eastAsia="Times New Roman"/>
                <w:color w:val="000000"/>
                <w:sz w:val="18"/>
                <w:szCs w:val="22"/>
                <w:lang w:eastAsia="en-GB"/>
              </w:rPr>
            </w:pPr>
          </w:p>
        </w:tc>
        <w:tc>
          <w:tcPr>
            <w:tcW w:w="1355" w:type="dxa"/>
            <w:tcBorders>
              <w:top w:val="nil"/>
              <w:left w:val="nil"/>
              <w:bottom w:val="nil"/>
              <w:right w:val="nil"/>
            </w:tcBorders>
            <w:shd w:val="clear" w:color="auto" w:fill="auto"/>
            <w:noWrap/>
            <w:vAlign w:val="bottom"/>
            <w:hideMark/>
          </w:tcPr>
          <w:p w:rsidR="00A364AF" w:rsidRPr="003B03DB" w:rsidRDefault="00A364AF" w:rsidP="00A364AF">
            <w:pPr>
              <w:jc w:val="center"/>
              <w:rPr>
                <w:rFonts w:eastAsia="Times New Roman"/>
                <w:color w:val="000000"/>
                <w:sz w:val="18"/>
                <w:szCs w:val="22"/>
                <w:lang w:eastAsia="en-GB"/>
              </w:rPr>
            </w:pPr>
          </w:p>
        </w:tc>
        <w:tc>
          <w:tcPr>
            <w:tcW w:w="1000" w:type="dxa"/>
            <w:tcBorders>
              <w:top w:val="nil"/>
              <w:left w:val="nil"/>
              <w:bottom w:val="nil"/>
              <w:right w:val="nil"/>
            </w:tcBorders>
            <w:shd w:val="clear" w:color="auto" w:fill="auto"/>
            <w:noWrap/>
            <w:vAlign w:val="bottom"/>
            <w:hideMark/>
          </w:tcPr>
          <w:p w:rsidR="00A364AF" w:rsidRPr="003B03DB" w:rsidRDefault="00A364AF" w:rsidP="00A364AF">
            <w:pPr>
              <w:jc w:val="center"/>
              <w:rPr>
                <w:rFonts w:eastAsia="Times New Roman"/>
                <w:color w:val="000000"/>
                <w:sz w:val="18"/>
                <w:szCs w:val="22"/>
                <w:lang w:eastAsia="en-GB"/>
              </w:rPr>
            </w:pPr>
          </w:p>
        </w:tc>
        <w:tc>
          <w:tcPr>
            <w:tcW w:w="282" w:type="dxa"/>
            <w:tcBorders>
              <w:top w:val="nil"/>
              <w:left w:val="nil"/>
              <w:bottom w:val="nil"/>
              <w:right w:val="nil"/>
            </w:tcBorders>
            <w:shd w:val="clear" w:color="auto" w:fill="auto"/>
            <w:noWrap/>
            <w:vAlign w:val="bottom"/>
            <w:hideMark/>
          </w:tcPr>
          <w:p w:rsidR="00A364AF" w:rsidRPr="003B03DB" w:rsidRDefault="00A364AF" w:rsidP="00A364AF">
            <w:pPr>
              <w:rPr>
                <w:rFonts w:eastAsia="Times New Roman"/>
                <w:color w:val="000000"/>
                <w:sz w:val="18"/>
                <w:szCs w:val="22"/>
                <w:lang w:eastAsia="en-GB"/>
              </w:rPr>
            </w:pPr>
          </w:p>
        </w:tc>
        <w:tc>
          <w:tcPr>
            <w:tcW w:w="2195" w:type="dxa"/>
            <w:tcBorders>
              <w:top w:val="nil"/>
              <w:left w:val="nil"/>
              <w:bottom w:val="nil"/>
              <w:right w:val="nil"/>
            </w:tcBorders>
            <w:shd w:val="clear" w:color="auto" w:fill="auto"/>
            <w:noWrap/>
            <w:vAlign w:val="bottom"/>
            <w:hideMark/>
          </w:tcPr>
          <w:p w:rsidR="00A364AF" w:rsidRPr="003B03DB" w:rsidRDefault="00A364AF" w:rsidP="00A364AF">
            <w:pPr>
              <w:rPr>
                <w:rFonts w:eastAsia="Times New Roman"/>
                <w:color w:val="000000"/>
                <w:sz w:val="18"/>
                <w:szCs w:val="22"/>
                <w:lang w:eastAsia="en-GB"/>
              </w:rPr>
            </w:pPr>
          </w:p>
        </w:tc>
        <w:tc>
          <w:tcPr>
            <w:tcW w:w="1334" w:type="dxa"/>
            <w:tcBorders>
              <w:top w:val="nil"/>
              <w:left w:val="nil"/>
              <w:bottom w:val="single" w:sz="8" w:space="0" w:color="auto"/>
              <w:right w:val="nil"/>
            </w:tcBorders>
            <w:shd w:val="clear" w:color="auto" w:fill="auto"/>
            <w:noWrap/>
            <w:vAlign w:val="bottom"/>
            <w:hideMark/>
          </w:tcPr>
          <w:p w:rsidR="00A364AF" w:rsidRPr="003B03DB" w:rsidRDefault="00A364AF" w:rsidP="00A364AF">
            <w:pPr>
              <w:jc w:val="center"/>
              <w:rPr>
                <w:rFonts w:eastAsia="Times New Roman"/>
                <w:color w:val="000000"/>
                <w:sz w:val="18"/>
                <w:szCs w:val="22"/>
                <w:lang w:eastAsia="en-GB"/>
              </w:rPr>
            </w:pPr>
          </w:p>
        </w:tc>
        <w:tc>
          <w:tcPr>
            <w:tcW w:w="1066" w:type="dxa"/>
            <w:tcBorders>
              <w:top w:val="nil"/>
              <w:left w:val="nil"/>
              <w:bottom w:val="single" w:sz="8" w:space="0" w:color="auto"/>
              <w:right w:val="nil"/>
            </w:tcBorders>
            <w:shd w:val="clear" w:color="auto" w:fill="auto"/>
            <w:noWrap/>
            <w:vAlign w:val="bottom"/>
            <w:hideMark/>
          </w:tcPr>
          <w:p w:rsidR="00A364AF" w:rsidRPr="003B03DB" w:rsidRDefault="00A364AF" w:rsidP="00A364AF">
            <w:pPr>
              <w:jc w:val="center"/>
              <w:rPr>
                <w:rFonts w:eastAsia="Times New Roman"/>
                <w:color w:val="000000"/>
                <w:sz w:val="18"/>
                <w:szCs w:val="22"/>
                <w:lang w:eastAsia="en-GB"/>
              </w:rPr>
            </w:pPr>
          </w:p>
        </w:tc>
        <w:tc>
          <w:tcPr>
            <w:tcW w:w="243" w:type="dxa"/>
            <w:tcBorders>
              <w:top w:val="nil"/>
              <w:left w:val="nil"/>
              <w:bottom w:val="nil"/>
              <w:right w:val="nil"/>
            </w:tcBorders>
            <w:shd w:val="clear" w:color="auto" w:fill="auto"/>
            <w:noWrap/>
            <w:vAlign w:val="bottom"/>
            <w:hideMark/>
          </w:tcPr>
          <w:p w:rsidR="00A364AF" w:rsidRPr="003B03DB" w:rsidRDefault="00A364AF" w:rsidP="00A364AF">
            <w:pPr>
              <w:rPr>
                <w:rFonts w:eastAsia="Times New Roman"/>
                <w:color w:val="000000"/>
                <w:sz w:val="18"/>
                <w:szCs w:val="22"/>
                <w:lang w:eastAsia="en-GB"/>
              </w:rPr>
            </w:pPr>
          </w:p>
        </w:tc>
        <w:tc>
          <w:tcPr>
            <w:tcW w:w="2166" w:type="dxa"/>
            <w:tcBorders>
              <w:top w:val="nil"/>
              <w:left w:val="nil"/>
              <w:bottom w:val="nil"/>
              <w:right w:val="nil"/>
            </w:tcBorders>
            <w:shd w:val="clear" w:color="auto" w:fill="auto"/>
            <w:noWrap/>
            <w:vAlign w:val="bottom"/>
            <w:hideMark/>
          </w:tcPr>
          <w:p w:rsidR="00A364AF" w:rsidRPr="003B03DB" w:rsidRDefault="00A364AF" w:rsidP="00A364AF">
            <w:pPr>
              <w:rPr>
                <w:rFonts w:eastAsia="Times New Roman"/>
                <w:color w:val="000000"/>
                <w:sz w:val="18"/>
                <w:szCs w:val="22"/>
                <w:lang w:eastAsia="en-GB"/>
              </w:rPr>
            </w:pPr>
          </w:p>
        </w:tc>
        <w:tc>
          <w:tcPr>
            <w:tcW w:w="1358" w:type="dxa"/>
            <w:tcBorders>
              <w:top w:val="nil"/>
              <w:left w:val="nil"/>
              <w:bottom w:val="nil"/>
              <w:right w:val="nil"/>
            </w:tcBorders>
            <w:shd w:val="clear" w:color="auto" w:fill="auto"/>
            <w:noWrap/>
            <w:vAlign w:val="bottom"/>
            <w:hideMark/>
          </w:tcPr>
          <w:p w:rsidR="00A364AF" w:rsidRPr="003B03DB" w:rsidRDefault="00A364AF" w:rsidP="00A364AF">
            <w:pPr>
              <w:jc w:val="center"/>
              <w:rPr>
                <w:rFonts w:eastAsia="Times New Roman"/>
                <w:color w:val="000000"/>
                <w:sz w:val="18"/>
                <w:szCs w:val="22"/>
                <w:lang w:eastAsia="en-GB"/>
              </w:rPr>
            </w:pPr>
          </w:p>
        </w:tc>
        <w:tc>
          <w:tcPr>
            <w:tcW w:w="1075" w:type="dxa"/>
            <w:tcBorders>
              <w:top w:val="nil"/>
              <w:left w:val="nil"/>
              <w:bottom w:val="nil"/>
              <w:right w:val="nil"/>
            </w:tcBorders>
            <w:shd w:val="clear" w:color="auto" w:fill="auto"/>
            <w:noWrap/>
            <w:vAlign w:val="bottom"/>
            <w:hideMark/>
          </w:tcPr>
          <w:p w:rsidR="00A364AF" w:rsidRPr="003B03DB" w:rsidRDefault="00A364AF" w:rsidP="00A364AF">
            <w:pPr>
              <w:jc w:val="center"/>
              <w:rPr>
                <w:rFonts w:eastAsia="Times New Roman"/>
                <w:color w:val="000000"/>
                <w:sz w:val="18"/>
                <w:szCs w:val="22"/>
                <w:lang w:eastAsia="en-GB"/>
              </w:rPr>
            </w:pPr>
          </w:p>
        </w:tc>
      </w:tr>
      <w:tr w:rsidR="00A364AF" w:rsidRPr="00711CDA" w:rsidTr="00A364AF">
        <w:trPr>
          <w:trHeight w:val="315"/>
        </w:trPr>
        <w:tc>
          <w:tcPr>
            <w:tcW w:w="2116" w:type="dxa"/>
            <w:vMerge w:val="restart"/>
            <w:tcBorders>
              <w:top w:val="single" w:sz="8" w:space="0" w:color="auto"/>
              <w:left w:val="single" w:sz="8" w:space="0" w:color="auto"/>
              <w:right w:val="single" w:sz="8" w:space="0" w:color="auto"/>
            </w:tcBorders>
            <w:shd w:val="clear" w:color="000000" w:fill="DCE6F1"/>
            <w:noWrap/>
            <w:vAlign w:val="bottom"/>
          </w:tcPr>
          <w:p w:rsidR="00A364AF" w:rsidRPr="00711CDA" w:rsidRDefault="00A364AF" w:rsidP="00A364AF">
            <w:pPr>
              <w:rPr>
                <w:rFonts w:eastAsia="Times New Roman"/>
                <w:b/>
                <w:bCs/>
                <w:color w:val="000000"/>
                <w:sz w:val="20"/>
                <w:szCs w:val="20"/>
                <w:lang w:eastAsia="en-GB"/>
              </w:rPr>
            </w:pPr>
            <w:r>
              <w:rPr>
                <w:b/>
                <w:bCs/>
                <w:sz w:val="20"/>
                <w:szCs w:val="20"/>
              </w:rPr>
              <w:t>Full-Time Gap</w:t>
            </w:r>
          </w:p>
        </w:tc>
        <w:tc>
          <w:tcPr>
            <w:tcW w:w="2355" w:type="dxa"/>
            <w:gridSpan w:val="2"/>
            <w:tcBorders>
              <w:top w:val="single" w:sz="8" w:space="0" w:color="auto"/>
              <w:left w:val="nil"/>
              <w:right w:val="single" w:sz="8" w:space="0" w:color="auto"/>
            </w:tcBorders>
            <w:shd w:val="clear" w:color="000000" w:fill="DCE6F1"/>
            <w:noWrap/>
            <w:vAlign w:val="center"/>
          </w:tcPr>
          <w:p w:rsidR="00A364AF" w:rsidRPr="00711CDA" w:rsidRDefault="00A364AF" w:rsidP="00A364AF">
            <w:pPr>
              <w:jc w:val="center"/>
              <w:rPr>
                <w:rFonts w:eastAsia="Times New Roman"/>
                <w:b/>
                <w:bCs/>
                <w:color w:val="000000"/>
                <w:sz w:val="20"/>
                <w:szCs w:val="20"/>
                <w:lang w:eastAsia="en-GB"/>
              </w:rPr>
            </w:pPr>
            <w:r>
              <w:rPr>
                <w:rFonts w:eastAsia="Times New Roman"/>
                <w:b/>
                <w:bCs/>
                <w:color w:val="000000"/>
                <w:sz w:val="20"/>
                <w:szCs w:val="20"/>
                <w:lang w:eastAsia="en-GB"/>
              </w:rPr>
              <w:t>Hourly Rates</w:t>
            </w:r>
          </w:p>
        </w:tc>
        <w:tc>
          <w:tcPr>
            <w:tcW w:w="282" w:type="dxa"/>
            <w:tcBorders>
              <w:top w:val="nil"/>
              <w:left w:val="nil"/>
              <w:bottom w:val="nil"/>
              <w:right w:val="nil"/>
            </w:tcBorders>
            <w:shd w:val="clear" w:color="auto" w:fill="auto"/>
            <w:noWrap/>
            <w:vAlign w:val="bottom"/>
          </w:tcPr>
          <w:p w:rsidR="00A364AF" w:rsidRPr="00711CDA" w:rsidRDefault="00A364AF" w:rsidP="00A364AF">
            <w:pPr>
              <w:rPr>
                <w:rFonts w:eastAsia="Times New Roman"/>
                <w:color w:val="000000"/>
                <w:sz w:val="20"/>
                <w:szCs w:val="20"/>
                <w:lang w:eastAsia="en-GB"/>
              </w:rPr>
            </w:pPr>
          </w:p>
        </w:tc>
        <w:tc>
          <w:tcPr>
            <w:tcW w:w="2195" w:type="dxa"/>
            <w:vMerge w:val="restart"/>
            <w:tcBorders>
              <w:top w:val="single" w:sz="8" w:space="0" w:color="auto"/>
              <w:left w:val="single" w:sz="8" w:space="0" w:color="auto"/>
              <w:right w:val="single" w:sz="8" w:space="0" w:color="auto"/>
            </w:tcBorders>
            <w:shd w:val="clear" w:color="000000" w:fill="DCE6F1"/>
            <w:noWrap/>
            <w:vAlign w:val="bottom"/>
          </w:tcPr>
          <w:p w:rsidR="00A364AF" w:rsidRPr="00711CDA" w:rsidRDefault="00A364AF" w:rsidP="00A364AF">
            <w:pPr>
              <w:rPr>
                <w:rFonts w:eastAsia="Times New Roman"/>
                <w:b/>
                <w:bCs/>
                <w:color w:val="000000"/>
                <w:sz w:val="20"/>
                <w:szCs w:val="20"/>
                <w:lang w:eastAsia="en-GB"/>
              </w:rPr>
            </w:pPr>
            <w:r>
              <w:rPr>
                <w:b/>
                <w:bCs/>
                <w:sz w:val="20"/>
                <w:szCs w:val="20"/>
              </w:rPr>
              <w:t>Full-Time Gap</w:t>
            </w:r>
          </w:p>
        </w:tc>
        <w:tc>
          <w:tcPr>
            <w:tcW w:w="2400" w:type="dxa"/>
            <w:gridSpan w:val="2"/>
            <w:tcBorders>
              <w:top w:val="single" w:sz="8" w:space="0" w:color="auto"/>
              <w:left w:val="nil"/>
              <w:right w:val="single" w:sz="8" w:space="0" w:color="auto"/>
            </w:tcBorders>
            <w:shd w:val="clear" w:color="000000" w:fill="DCE6F1"/>
            <w:noWrap/>
            <w:vAlign w:val="center"/>
          </w:tcPr>
          <w:p w:rsidR="00A364AF" w:rsidRPr="00711CDA" w:rsidRDefault="00A364AF" w:rsidP="00A364AF">
            <w:pPr>
              <w:jc w:val="center"/>
              <w:rPr>
                <w:rFonts w:eastAsia="Times New Roman"/>
                <w:b/>
                <w:bCs/>
                <w:color w:val="000000"/>
                <w:sz w:val="20"/>
                <w:szCs w:val="20"/>
                <w:lang w:eastAsia="en-GB"/>
              </w:rPr>
            </w:pPr>
            <w:r>
              <w:rPr>
                <w:rFonts w:eastAsia="Times New Roman"/>
                <w:b/>
                <w:bCs/>
                <w:color w:val="000000"/>
                <w:sz w:val="20"/>
                <w:szCs w:val="20"/>
                <w:lang w:eastAsia="en-GB"/>
              </w:rPr>
              <w:t>Hourly Rates</w:t>
            </w:r>
          </w:p>
        </w:tc>
        <w:tc>
          <w:tcPr>
            <w:tcW w:w="243" w:type="dxa"/>
            <w:tcBorders>
              <w:top w:val="nil"/>
              <w:left w:val="nil"/>
              <w:bottom w:val="nil"/>
              <w:right w:val="nil"/>
            </w:tcBorders>
            <w:shd w:val="clear" w:color="auto" w:fill="auto"/>
            <w:noWrap/>
            <w:vAlign w:val="bottom"/>
          </w:tcPr>
          <w:p w:rsidR="00A364AF" w:rsidRPr="00711CDA" w:rsidRDefault="00A364AF" w:rsidP="00A364AF">
            <w:pPr>
              <w:rPr>
                <w:rFonts w:eastAsia="Times New Roman"/>
                <w:color w:val="000000"/>
                <w:sz w:val="20"/>
                <w:szCs w:val="20"/>
                <w:lang w:eastAsia="en-GB"/>
              </w:rPr>
            </w:pPr>
          </w:p>
        </w:tc>
        <w:tc>
          <w:tcPr>
            <w:tcW w:w="2166" w:type="dxa"/>
            <w:vMerge w:val="restart"/>
            <w:tcBorders>
              <w:top w:val="single" w:sz="8" w:space="0" w:color="auto"/>
              <w:left w:val="single" w:sz="8" w:space="0" w:color="auto"/>
              <w:right w:val="single" w:sz="8" w:space="0" w:color="auto"/>
            </w:tcBorders>
            <w:shd w:val="clear" w:color="000000" w:fill="DCE6F1"/>
            <w:noWrap/>
            <w:vAlign w:val="bottom"/>
          </w:tcPr>
          <w:p w:rsidR="00A364AF" w:rsidRPr="00711CDA" w:rsidRDefault="00A364AF" w:rsidP="00A364AF">
            <w:pPr>
              <w:rPr>
                <w:rFonts w:eastAsia="Times New Roman"/>
                <w:b/>
                <w:bCs/>
                <w:color w:val="000000"/>
                <w:sz w:val="20"/>
                <w:szCs w:val="20"/>
                <w:lang w:eastAsia="en-GB"/>
              </w:rPr>
            </w:pPr>
            <w:r>
              <w:rPr>
                <w:b/>
                <w:bCs/>
                <w:sz w:val="20"/>
                <w:szCs w:val="20"/>
              </w:rPr>
              <w:t>Full-Time Gap</w:t>
            </w:r>
          </w:p>
        </w:tc>
        <w:tc>
          <w:tcPr>
            <w:tcW w:w="2433" w:type="dxa"/>
            <w:gridSpan w:val="2"/>
            <w:tcBorders>
              <w:top w:val="single" w:sz="8" w:space="0" w:color="auto"/>
              <w:left w:val="nil"/>
              <w:right w:val="single" w:sz="8" w:space="0" w:color="auto"/>
            </w:tcBorders>
            <w:shd w:val="clear" w:color="000000" w:fill="DCE6F1"/>
            <w:noWrap/>
            <w:vAlign w:val="center"/>
          </w:tcPr>
          <w:p w:rsidR="00A364AF" w:rsidRPr="00711CDA" w:rsidRDefault="00A364AF" w:rsidP="00A364AF">
            <w:pPr>
              <w:jc w:val="center"/>
              <w:rPr>
                <w:rFonts w:eastAsia="Times New Roman"/>
                <w:b/>
                <w:bCs/>
                <w:color w:val="000000"/>
                <w:sz w:val="20"/>
                <w:szCs w:val="20"/>
                <w:lang w:eastAsia="en-GB"/>
              </w:rPr>
            </w:pPr>
            <w:r>
              <w:rPr>
                <w:rFonts w:eastAsia="Times New Roman"/>
                <w:b/>
                <w:bCs/>
                <w:color w:val="000000"/>
                <w:sz w:val="20"/>
                <w:szCs w:val="20"/>
                <w:lang w:eastAsia="en-GB"/>
              </w:rPr>
              <w:t>Hourly Rates</w:t>
            </w:r>
          </w:p>
        </w:tc>
      </w:tr>
      <w:tr w:rsidR="00A364AF" w:rsidRPr="00711CDA" w:rsidTr="00A364AF">
        <w:trPr>
          <w:trHeight w:val="315"/>
        </w:trPr>
        <w:tc>
          <w:tcPr>
            <w:tcW w:w="2116" w:type="dxa"/>
            <w:vMerge/>
            <w:tcBorders>
              <w:left w:val="single" w:sz="8" w:space="0" w:color="auto"/>
              <w:bottom w:val="single" w:sz="8" w:space="0" w:color="auto"/>
              <w:right w:val="single" w:sz="8" w:space="0" w:color="auto"/>
            </w:tcBorders>
            <w:shd w:val="clear" w:color="000000" w:fill="DCE6F1"/>
            <w:noWrap/>
            <w:vAlign w:val="center"/>
          </w:tcPr>
          <w:p w:rsidR="00A364AF" w:rsidRPr="00711CDA" w:rsidRDefault="00A364AF" w:rsidP="00A364AF">
            <w:pPr>
              <w:rPr>
                <w:rFonts w:eastAsia="Times New Roman"/>
                <w:b/>
                <w:bCs/>
                <w:color w:val="000000"/>
                <w:sz w:val="20"/>
                <w:szCs w:val="20"/>
                <w:lang w:eastAsia="en-GB"/>
              </w:rPr>
            </w:pPr>
          </w:p>
        </w:tc>
        <w:tc>
          <w:tcPr>
            <w:tcW w:w="1355" w:type="dxa"/>
            <w:tcBorders>
              <w:left w:val="nil"/>
              <w:bottom w:val="single" w:sz="8" w:space="0" w:color="auto"/>
              <w:right w:val="single" w:sz="8" w:space="0" w:color="auto"/>
            </w:tcBorders>
            <w:shd w:val="clear" w:color="000000" w:fill="DCE6F1"/>
            <w:noWrap/>
            <w:vAlign w:val="center"/>
          </w:tcPr>
          <w:p w:rsidR="00A364AF" w:rsidRPr="00711CDA" w:rsidRDefault="00A364AF" w:rsidP="00A364AF">
            <w:pPr>
              <w:jc w:val="center"/>
              <w:rPr>
                <w:rFonts w:eastAsia="Times New Roman"/>
                <w:b/>
                <w:bCs/>
                <w:color w:val="000000"/>
                <w:sz w:val="20"/>
                <w:szCs w:val="20"/>
                <w:lang w:eastAsia="en-GB"/>
              </w:rPr>
            </w:pPr>
            <w:r>
              <w:rPr>
                <w:rFonts w:eastAsia="Times New Roman"/>
                <w:b/>
                <w:bCs/>
                <w:color w:val="000000"/>
                <w:sz w:val="20"/>
                <w:szCs w:val="20"/>
                <w:lang w:eastAsia="en-GB"/>
              </w:rPr>
              <w:t>Female</w:t>
            </w:r>
          </w:p>
        </w:tc>
        <w:tc>
          <w:tcPr>
            <w:tcW w:w="1000" w:type="dxa"/>
            <w:tcBorders>
              <w:left w:val="nil"/>
              <w:bottom w:val="single" w:sz="8" w:space="0" w:color="auto"/>
              <w:right w:val="single" w:sz="8" w:space="0" w:color="auto"/>
            </w:tcBorders>
            <w:shd w:val="clear" w:color="000000" w:fill="DCE6F1"/>
            <w:noWrap/>
            <w:vAlign w:val="center"/>
          </w:tcPr>
          <w:p w:rsidR="00A364AF" w:rsidRPr="00711CDA" w:rsidRDefault="00A364AF" w:rsidP="00A364AF">
            <w:pPr>
              <w:jc w:val="center"/>
              <w:rPr>
                <w:rFonts w:eastAsia="Times New Roman"/>
                <w:b/>
                <w:bCs/>
                <w:color w:val="000000"/>
                <w:sz w:val="20"/>
                <w:szCs w:val="20"/>
                <w:lang w:eastAsia="en-GB"/>
              </w:rPr>
            </w:pPr>
            <w:r>
              <w:rPr>
                <w:rFonts w:eastAsia="Times New Roman"/>
                <w:b/>
                <w:bCs/>
                <w:color w:val="000000"/>
                <w:sz w:val="20"/>
                <w:szCs w:val="20"/>
                <w:lang w:eastAsia="en-GB"/>
              </w:rPr>
              <w:t>Male</w:t>
            </w:r>
          </w:p>
        </w:tc>
        <w:tc>
          <w:tcPr>
            <w:tcW w:w="282" w:type="dxa"/>
            <w:tcBorders>
              <w:top w:val="nil"/>
              <w:left w:val="nil"/>
              <w:bottom w:val="nil"/>
              <w:right w:val="nil"/>
            </w:tcBorders>
            <w:shd w:val="clear" w:color="auto" w:fill="auto"/>
            <w:noWrap/>
            <w:vAlign w:val="bottom"/>
          </w:tcPr>
          <w:p w:rsidR="00A364AF" w:rsidRPr="00711CDA" w:rsidRDefault="00A364AF" w:rsidP="00A364AF">
            <w:pPr>
              <w:rPr>
                <w:rFonts w:eastAsia="Times New Roman"/>
                <w:color w:val="000000"/>
                <w:sz w:val="20"/>
                <w:szCs w:val="20"/>
                <w:lang w:eastAsia="en-GB"/>
              </w:rPr>
            </w:pPr>
          </w:p>
        </w:tc>
        <w:tc>
          <w:tcPr>
            <w:tcW w:w="2195" w:type="dxa"/>
            <w:vMerge/>
            <w:tcBorders>
              <w:left w:val="single" w:sz="8" w:space="0" w:color="auto"/>
              <w:bottom w:val="single" w:sz="8" w:space="0" w:color="auto"/>
              <w:right w:val="single" w:sz="8" w:space="0" w:color="auto"/>
            </w:tcBorders>
            <w:shd w:val="clear" w:color="000000" w:fill="DCE6F1"/>
            <w:noWrap/>
            <w:vAlign w:val="center"/>
          </w:tcPr>
          <w:p w:rsidR="00A364AF" w:rsidRPr="00711CDA" w:rsidRDefault="00A364AF" w:rsidP="00A364AF">
            <w:pPr>
              <w:rPr>
                <w:rFonts w:eastAsia="Times New Roman"/>
                <w:b/>
                <w:bCs/>
                <w:color w:val="000000"/>
                <w:sz w:val="20"/>
                <w:szCs w:val="20"/>
                <w:lang w:eastAsia="en-GB"/>
              </w:rPr>
            </w:pPr>
          </w:p>
        </w:tc>
        <w:tc>
          <w:tcPr>
            <w:tcW w:w="1334" w:type="dxa"/>
            <w:tcBorders>
              <w:left w:val="nil"/>
              <w:bottom w:val="single" w:sz="8" w:space="0" w:color="auto"/>
              <w:right w:val="single" w:sz="8" w:space="0" w:color="auto"/>
            </w:tcBorders>
            <w:shd w:val="clear" w:color="000000" w:fill="DCE6F1"/>
            <w:noWrap/>
            <w:vAlign w:val="center"/>
          </w:tcPr>
          <w:p w:rsidR="00A364AF" w:rsidRPr="00711CDA" w:rsidRDefault="00A364AF" w:rsidP="00A364AF">
            <w:pPr>
              <w:jc w:val="center"/>
              <w:rPr>
                <w:rFonts w:eastAsia="Times New Roman"/>
                <w:b/>
                <w:bCs/>
                <w:color w:val="000000"/>
                <w:sz w:val="20"/>
                <w:szCs w:val="20"/>
                <w:lang w:eastAsia="en-GB"/>
              </w:rPr>
            </w:pPr>
            <w:r>
              <w:rPr>
                <w:rFonts w:eastAsia="Times New Roman"/>
                <w:b/>
                <w:bCs/>
                <w:color w:val="000000"/>
                <w:sz w:val="20"/>
                <w:szCs w:val="20"/>
                <w:lang w:eastAsia="en-GB"/>
              </w:rPr>
              <w:t>Female</w:t>
            </w:r>
          </w:p>
        </w:tc>
        <w:tc>
          <w:tcPr>
            <w:tcW w:w="1066" w:type="dxa"/>
            <w:tcBorders>
              <w:left w:val="nil"/>
              <w:bottom w:val="single" w:sz="8" w:space="0" w:color="auto"/>
              <w:right w:val="single" w:sz="8" w:space="0" w:color="auto"/>
            </w:tcBorders>
            <w:shd w:val="clear" w:color="000000" w:fill="DCE6F1"/>
            <w:noWrap/>
            <w:vAlign w:val="center"/>
          </w:tcPr>
          <w:p w:rsidR="00A364AF" w:rsidRPr="00711CDA" w:rsidRDefault="00A364AF" w:rsidP="00A364AF">
            <w:pPr>
              <w:jc w:val="center"/>
              <w:rPr>
                <w:rFonts w:eastAsia="Times New Roman"/>
                <w:b/>
                <w:bCs/>
                <w:color w:val="000000"/>
                <w:sz w:val="20"/>
                <w:szCs w:val="20"/>
                <w:lang w:eastAsia="en-GB"/>
              </w:rPr>
            </w:pPr>
            <w:r>
              <w:rPr>
                <w:rFonts w:eastAsia="Times New Roman"/>
                <w:b/>
                <w:bCs/>
                <w:color w:val="000000"/>
                <w:sz w:val="20"/>
                <w:szCs w:val="20"/>
                <w:lang w:eastAsia="en-GB"/>
              </w:rPr>
              <w:t>Male</w:t>
            </w:r>
          </w:p>
        </w:tc>
        <w:tc>
          <w:tcPr>
            <w:tcW w:w="243" w:type="dxa"/>
            <w:tcBorders>
              <w:top w:val="nil"/>
              <w:left w:val="nil"/>
              <w:bottom w:val="nil"/>
              <w:right w:val="nil"/>
            </w:tcBorders>
            <w:shd w:val="clear" w:color="auto" w:fill="auto"/>
            <w:noWrap/>
            <w:vAlign w:val="bottom"/>
          </w:tcPr>
          <w:p w:rsidR="00A364AF" w:rsidRPr="00711CDA" w:rsidRDefault="00A364AF" w:rsidP="00A364AF">
            <w:pPr>
              <w:rPr>
                <w:rFonts w:eastAsia="Times New Roman"/>
                <w:color w:val="000000"/>
                <w:sz w:val="20"/>
                <w:szCs w:val="20"/>
                <w:lang w:eastAsia="en-GB"/>
              </w:rPr>
            </w:pPr>
          </w:p>
        </w:tc>
        <w:tc>
          <w:tcPr>
            <w:tcW w:w="2166" w:type="dxa"/>
            <w:vMerge/>
            <w:tcBorders>
              <w:left w:val="single" w:sz="8" w:space="0" w:color="auto"/>
              <w:bottom w:val="single" w:sz="8" w:space="0" w:color="auto"/>
              <w:right w:val="single" w:sz="8" w:space="0" w:color="auto"/>
            </w:tcBorders>
            <w:shd w:val="clear" w:color="000000" w:fill="DCE6F1"/>
            <w:noWrap/>
            <w:vAlign w:val="center"/>
          </w:tcPr>
          <w:p w:rsidR="00A364AF" w:rsidRPr="00711CDA" w:rsidRDefault="00A364AF" w:rsidP="00A364AF">
            <w:pPr>
              <w:rPr>
                <w:rFonts w:eastAsia="Times New Roman"/>
                <w:b/>
                <w:bCs/>
                <w:color w:val="000000"/>
                <w:sz w:val="20"/>
                <w:szCs w:val="20"/>
                <w:lang w:eastAsia="en-GB"/>
              </w:rPr>
            </w:pPr>
          </w:p>
        </w:tc>
        <w:tc>
          <w:tcPr>
            <w:tcW w:w="1358" w:type="dxa"/>
            <w:tcBorders>
              <w:left w:val="nil"/>
              <w:bottom w:val="single" w:sz="8" w:space="0" w:color="auto"/>
              <w:right w:val="single" w:sz="8" w:space="0" w:color="auto"/>
            </w:tcBorders>
            <w:shd w:val="clear" w:color="000000" w:fill="DCE6F1"/>
            <w:noWrap/>
            <w:vAlign w:val="center"/>
          </w:tcPr>
          <w:p w:rsidR="00A364AF" w:rsidRPr="00711CDA" w:rsidRDefault="00A364AF" w:rsidP="00A364AF">
            <w:pPr>
              <w:jc w:val="center"/>
              <w:rPr>
                <w:rFonts w:eastAsia="Times New Roman"/>
                <w:b/>
                <w:bCs/>
                <w:color w:val="000000"/>
                <w:sz w:val="20"/>
                <w:szCs w:val="20"/>
                <w:lang w:eastAsia="en-GB"/>
              </w:rPr>
            </w:pPr>
            <w:r>
              <w:rPr>
                <w:rFonts w:eastAsia="Times New Roman"/>
                <w:b/>
                <w:bCs/>
                <w:color w:val="000000"/>
                <w:sz w:val="20"/>
                <w:szCs w:val="20"/>
                <w:lang w:eastAsia="en-GB"/>
              </w:rPr>
              <w:t>Female</w:t>
            </w:r>
          </w:p>
        </w:tc>
        <w:tc>
          <w:tcPr>
            <w:tcW w:w="1075" w:type="dxa"/>
            <w:tcBorders>
              <w:left w:val="nil"/>
              <w:bottom w:val="single" w:sz="8" w:space="0" w:color="auto"/>
              <w:right w:val="single" w:sz="8" w:space="0" w:color="auto"/>
            </w:tcBorders>
            <w:shd w:val="clear" w:color="000000" w:fill="DCE6F1"/>
            <w:noWrap/>
            <w:vAlign w:val="center"/>
          </w:tcPr>
          <w:p w:rsidR="00A364AF" w:rsidRPr="00711CDA" w:rsidRDefault="00A364AF" w:rsidP="00A364AF">
            <w:pPr>
              <w:jc w:val="center"/>
              <w:rPr>
                <w:rFonts w:eastAsia="Times New Roman"/>
                <w:b/>
                <w:bCs/>
                <w:color w:val="000000"/>
                <w:sz w:val="20"/>
                <w:szCs w:val="20"/>
                <w:lang w:eastAsia="en-GB"/>
              </w:rPr>
            </w:pPr>
            <w:r>
              <w:rPr>
                <w:rFonts w:eastAsia="Times New Roman"/>
                <w:b/>
                <w:bCs/>
                <w:color w:val="000000"/>
                <w:sz w:val="20"/>
                <w:szCs w:val="20"/>
                <w:lang w:eastAsia="en-GB"/>
              </w:rPr>
              <w:t>Male</w:t>
            </w:r>
          </w:p>
        </w:tc>
      </w:tr>
      <w:tr w:rsidR="003B3CFD"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proofErr w:type="spellStart"/>
            <w:r>
              <w:rPr>
                <w:sz w:val="20"/>
                <w:szCs w:val="20"/>
              </w:rPr>
              <w:t>Asst</w:t>
            </w:r>
            <w:proofErr w:type="spellEnd"/>
            <w:r>
              <w:rPr>
                <w:sz w:val="20"/>
                <w:szCs w:val="20"/>
              </w:rPr>
              <w:t xml:space="preserve"> Chief Executive</w:t>
            </w:r>
          </w:p>
        </w:tc>
        <w:tc>
          <w:tcPr>
            <w:tcW w:w="135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£16.08</w:t>
            </w:r>
          </w:p>
        </w:tc>
        <w:tc>
          <w:tcPr>
            <w:tcW w:w="1000"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£16.72</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A364AF">
            <w:pPr>
              <w:rPr>
                <w:sz w:val="20"/>
                <w:szCs w:val="20"/>
              </w:rPr>
            </w:pPr>
            <w:proofErr w:type="spellStart"/>
            <w:r>
              <w:rPr>
                <w:sz w:val="20"/>
                <w:szCs w:val="20"/>
              </w:rPr>
              <w:t>Asst</w:t>
            </w:r>
            <w:proofErr w:type="spellEnd"/>
            <w:r>
              <w:rPr>
                <w:sz w:val="20"/>
                <w:szCs w:val="20"/>
              </w:rPr>
              <w:t xml:space="preserve"> Chief Executive</w:t>
            </w: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£16.59</w:t>
            </w: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proofErr w:type="spellStart"/>
            <w:r>
              <w:rPr>
                <w:sz w:val="20"/>
                <w:szCs w:val="20"/>
              </w:rPr>
              <w:t>Asst</w:t>
            </w:r>
            <w:proofErr w:type="spellEnd"/>
            <w:r>
              <w:rPr>
                <w:sz w:val="20"/>
                <w:szCs w:val="20"/>
              </w:rPr>
              <w:t xml:space="preserve"> Chief Executive</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£18.43</w:t>
            </w: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£12.82</w:t>
            </w:r>
          </w:p>
        </w:tc>
      </w:tr>
      <w:tr w:rsidR="003B3CFD"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Business Improvement</w:t>
            </w:r>
          </w:p>
        </w:tc>
        <w:tc>
          <w:tcPr>
            <w:tcW w:w="135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£14.17</w:t>
            </w:r>
          </w:p>
        </w:tc>
        <w:tc>
          <w:tcPr>
            <w:tcW w:w="1000"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£15.56</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A364AF">
            <w:pPr>
              <w:rPr>
                <w:sz w:val="20"/>
                <w:szCs w:val="20"/>
              </w:rPr>
            </w:pPr>
            <w:r>
              <w:rPr>
                <w:sz w:val="20"/>
                <w:szCs w:val="20"/>
              </w:rPr>
              <w:t>Business Improvement</w:t>
            </w: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£13.48</w:t>
            </w: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£16.36</w:t>
            </w: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Business Improvement</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£14.04</w:t>
            </w: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£17.67</w:t>
            </w:r>
          </w:p>
        </w:tc>
      </w:tr>
      <w:tr w:rsidR="003B3CFD"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Community Services</w:t>
            </w:r>
          </w:p>
        </w:tc>
        <w:tc>
          <w:tcPr>
            <w:tcW w:w="135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£12.84</w:t>
            </w:r>
          </w:p>
        </w:tc>
        <w:tc>
          <w:tcPr>
            <w:tcW w:w="1000"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£16.65</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A364AF">
            <w:pPr>
              <w:rPr>
                <w:sz w:val="20"/>
                <w:szCs w:val="20"/>
              </w:rPr>
            </w:pPr>
            <w:r>
              <w:rPr>
                <w:sz w:val="20"/>
                <w:szCs w:val="20"/>
              </w:rPr>
              <w:t>Community Services</w:t>
            </w: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£12.83</w:t>
            </w: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£13.01</w:t>
            </w: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Community Services</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£12.13</w:t>
            </w: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£13.81</w:t>
            </w:r>
          </w:p>
        </w:tc>
      </w:tr>
      <w:tr w:rsidR="003B3CFD"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 xml:space="preserve">Community Services Directorate </w:t>
            </w:r>
          </w:p>
        </w:tc>
        <w:tc>
          <w:tcPr>
            <w:tcW w:w="135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£20.42</w:t>
            </w:r>
          </w:p>
        </w:tc>
        <w:tc>
          <w:tcPr>
            <w:tcW w:w="1000"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£16.97</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A364AF">
            <w:pPr>
              <w:rPr>
                <w:sz w:val="20"/>
                <w:szCs w:val="20"/>
              </w:rPr>
            </w:pPr>
            <w:r>
              <w:rPr>
                <w:sz w:val="20"/>
                <w:szCs w:val="20"/>
              </w:rPr>
              <w:t xml:space="preserve">Community Services Directorate </w:t>
            </w: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£20.57</w:t>
            </w: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 xml:space="preserve">Community Services Directorate </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£26.00</w:t>
            </w: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£17.23</w:t>
            </w:r>
          </w:p>
        </w:tc>
      </w:tr>
      <w:tr w:rsidR="003B3CFD"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Direct Services</w:t>
            </w:r>
          </w:p>
        </w:tc>
        <w:tc>
          <w:tcPr>
            <w:tcW w:w="135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£11.38</w:t>
            </w:r>
          </w:p>
        </w:tc>
        <w:tc>
          <w:tcPr>
            <w:tcW w:w="1000"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£14.12</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A364AF">
            <w:pPr>
              <w:rPr>
                <w:sz w:val="20"/>
                <w:szCs w:val="20"/>
              </w:rPr>
            </w:pPr>
            <w:r>
              <w:rPr>
                <w:sz w:val="20"/>
                <w:szCs w:val="20"/>
              </w:rPr>
              <w:t>Direct Services</w:t>
            </w: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£11.76</w:t>
            </w: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£12.89</w:t>
            </w: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Direct Services</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£12.19</w:t>
            </w: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£12.69</w:t>
            </w:r>
          </w:p>
        </w:tc>
      </w:tr>
      <w:tr w:rsidR="003B3CFD"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Financial Services</w:t>
            </w:r>
          </w:p>
        </w:tc>
        <w:tc>
          <w:tcPr>
            <w:tcW w:w="135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£14.05</w:t>
            </w:r>
          </w:p>
        </w:tc>
        <w:tc>
          <w:tcPr>
            <w:tcW w:w="1000"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£16.30</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A364AF">
            <w:pPr>
              <w:rPr>
                <w:sz w:val="20"/>
                <w:szCs w:val="20"/>
              </w:rPr>
            </w:pPr>
            <w:r>
              <w:rPr>
                <w:sz w:val="20"/>
                <w:szCs w:val="20"/>
              </w:rPr>
              <w:t>Financial Services</w:t>
            </w: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£14.19</w:t>
            </w: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£14.19</w:t>
            </w: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Financial Services</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£14.37</w:t>
            </w: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£15.35</w:t>
            </w:r>
          </w:p>
        </w:tc>
      </w:tr>
      <w:tr w:rsidR="003B3CFD"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Housing &amp; Property</w:t>
            </w:r>
          </w:p>
        </w:tc>
        <w:tc>
          <w:tcPr>
            <w:tcW w:w="135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£15.95</w:t>
            </w:r>
          </w:p>
        </w:tc>
        <w:tc>
          <w:tcPr>
            <w:tcW w:w="1000"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£18.93</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A364AF">
            <w:pPr>
              <w:rPr>
                <w:sz w:val="20"/>
                <w:szCs w:val="20"/>
              </w:rPr>
            </w:pPr>
            <w:r>
              <w:rPr>
                <w:sz w:val="20"/>
                <w:szCs w:val="20"/>
              </w:rPr>
              <w:t>Housing &amp; Property</w:t>
            </w: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£16.35</w:t>
            </w: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£14.96</w:t>
            </w: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Housing &amp; Property</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£16.54</w:t>
            </w: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£14.41</w:t>
            </w:r>
          </w:p>
        </w:tc>
      </w:tr>
      <w:tr w:rsidR="003B3CFD"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Law &amp; Governance</w:t>
            </w:r>
          </w:p>
        </w:tc>
        <w:tc>
          <w:tcPr>
            <w:tcW w:w="135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£19.26</w:t>
            </w:r>
          </w:p>
        </w:tc>
        <w:tc>
          <w:tcPr>
            <w:tcW w:w="1000"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£23.91</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A364AF">
            <w:pPr>
              <w:rPr>
                <w:sz w:val="20"/>
                <w:szCs w:val="20"/>
              </w:rPr>
            </w:pPr>
            <w:r>
              <w:rPr>
                <w:sz w:val="20"/>
                <w:szCs w:val="20"/>
              </w:rPr>
              <w:t>Law &amp; Governance</w:t>
            </w: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£19.55</w:t>
            </w: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£24.96</w:t>
            </w: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Law &amp; Governance</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£19.88</w:t>
            </w: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£25.33</w:t>
            </w:r>
          </w:p>
        </w:tc>
      </w:tr>
      <w:tr w:rsidR="003B3CFD"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OD &amp; Corporate Services Directorate</w:t>
            </w:r>
          </w:p>
        </w:tc>
        <w:tc>
          <w:tcPr>
            <w:tcW w:w="135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£18.45</w:t>
            </w:r>
          </w:p>
        </w:tc>
        <w:tc>
          <w:tcPr>
            <w:tcW w:w="1000"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£24.19</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A364AF">
            <w:pPr>
              <w:rPr>
                <w:sz w:val="20"/>
                <w:szCs w:val="20"/>
              </w:rPr>
            </w:pPr>
            <w:r>
              <w:rPr>
                <w:sz w:val="20"/>
                <w:szCs w:val="20"/>
              </w:rPr>
              <w:t>OD &amp; Corporate Services Directorate</w:t>
            </w: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£14.74</w:t>
            </w: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OD &amp; Corporate Services Directorate</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£15.11</w:t>
            </w: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p>
        </w:tc>
      </w:tr>
      <w:tr w:rsidR="003B3CFD" w:rsidTr="00A364AF">
        <w:trPr>
          <w:trHeight w:val="315"/>
        </w:trPr>
        <w:tc>
          <w:tcPr>
            <w:tcW w:w="211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Planning &amp; Regulatory</w:t>
            </w:r>
          </w:p>
        </w:tc>
        <w:tc>
          <w:tcPr>
            <w:tcW w:w="135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£17.63</w:t>
            </w:r>
          </w:p>
        </w:tc>
        <w:tc>
          <w:tcPr>
            <w:tcW w:w="1000"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£18.77</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A364AF">
            <w:pPr>
              <w:rPr>
                <w:sz w:val="20"/>
                <w:szCs w:val="20"/>
              </w:rPr>
            </w:pPr>
            <w:r>
              <w:rPr>
                <w:sz w:val="20"/>
                <w:szCs w:val="20"/>
              </w:rPr>
              <w:t>Planning &amp; Regulatory</w:t>
            </w: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£18.00</w:t>
            </w: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£18.17</w:t>
            </w: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Planning &amp; Regulatory</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£17.79</w:t>
            </w: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£19.05</w:t>
            </w:r>
          </w:p>
        </w:tc>
      </w:tr>
      <w:tr w:rsidR="003B3CFD" w:rsidTr="003B3CFD">
        <w:trPr>
          <w:trHeight w:val="315"/>
        </w:trPr>
        <w:tc>
          <w:tcPr>
            <w:tcW w:w="21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3B3CFD" w:rsidRDefault="003B3CFD" w:rsidP="00A364AF">
            <w:pPr>
              <w:rPr>
                <w:sz w:val="18"/>
                <w:szCs w:val="18"/>
              </w:rPr>
            </w:pPr>
            <w:r w:rsidRPr="00A364AF">
              <w:rPr>
                <w:b/>
                <w:sz w:val="20"/>
                <w:szCs w:val="18"/>
              </w:rPr>
              <w:t>Overall</w:t>
            </w:r>
          </w:p>
        </w:tc>
        <w:tc>
          <w:tcPr>
            <w:tcW w:w="1355" w:type="dxa"/>
            <w:tcBorders>
              <w:top w:val="single" w:sz="8" w:space="0" w:color="auto"/>
              <w:left w:val="nil"/>
              <w:bottom w:val="single" w:sz="8" w:space="0" w:color="auto"/>
              <w:right w:val="single" w:sz="8" w:space="0" w:color="auto"/>
            </w:tcBorders>
            <w:shd w:val="clear" w:color="auto" w:fill="auto"/>
            <w:noWrap/>
            <w:vAlign w:val="center"/>
          </w:tcPr>
          <w:p w:rsidR="003B3CFD" w:rsidRDefault="003B3CFD" w:rsidP="00A364AF">
            <w:pPr>
              <w:jc w:val="center"/>
              <w:rPr>
                <w:b/>
                <w:bCs/>
                <w:sz w:val="20"/>
                <w:szCs w:val="20"/>
              </w:rPr>
            </w:pPr>
            <w:r>
              <w:rPr>
                <w:b/>
                <w:bCs/>
                <w:sz w:val="20"/>
                <w:szCs w:val="20"/>
              </w:rPr>
              <w:t>£14.55</w:t>
            </w:r>
          </w:p>
        </w:tc>
        <w:tc>
          <w:tcPr>
            <w:tcW w:w="1000" w:type="dxa"/>
            <w:tcBorders>
              <w:top w:val="single" w:sz="8" w:space="0" w:color="auto"/>
              <w:left w:val="nil"/>
              <w:bottom w:val="single" w:sz="8" w:space="0" w:color="auto"/>
              <w:right w:val="single" w:sz="8" w:space="0" w:color="auto"/>
            </w:tcBorders>
            <w:shd w:val="clear" w:color="auto" w:fill="auto"/>
            <w:noWrap/>
            <w:vAlign w:val="center"/>
          </w:tcPr>
          <w:p w:rsidR="003B3CFD" w:rsidRDefault="003B3CFD" w:rsidP="00A364AF">
            <w:pPr>
              <w:jc w:val="center"/>
              <w:rPr>
                <w:b/>
                <w:bCs/>
                <w:sz w:val="20"/>
                <w:szCs w:val="20"/>
              </w:rPr>
            </w:pPr>
            <w:r>
              <w:rPr>
                <w:b/>
                <w:bCs/>
                <w:sz w:val="20"/>
                <w:szCs w:val="20"/>
              </w:rPr>
              <w:t>£15.36</w:t>
            </w: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rsidP="003B3CFD">
            <w:pPr>
              <w:rPr>
                <w:sz w:val="20"/>
                <w:szCs w:val="20"/>
              </w:rPr>
            </w:pPr>
            <w:r>
              <w:rPr>
                <w:sz w:val="20"/>
                <w:szCs w:val="20"/>
              </w:rPr>
              <w:t>Senior Management</w:t>
            </w:r>
          </w:p>
          <w:p w:rsidR="003B3CFD" w:rsidRDefault="003B3CFD" w:rsidP="003B3CFD">
            <w:pPr>
              <w:rPr>
                <w:sz w:val="18"/>
                <w:szCs w:val="18"/>
              </w:rPr>
            </w:pPr>
          </w:p>
        </w:tc>
        <w:tc>
          <w:tcPr>
            <w:tcW w:w="1334"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p>
        </w:tc>
        <w:tc>
          <w:tcPr>
            <w:tcW w:w="1066"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£79.46</w:t>
            </w: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Regeneration &amp; Housing Directorate</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£20.78</w:t>
            </w:r>
          </w:p>
        </w:tc>
      </w:tr>
      <w:tr w:rsidR="003B3CFD" w:rsidTr="003B3CFD">
        <w:trPr>
          <w:trHeight w:val="315"/>
        </w:trPr>
        <w:tc>
          <w:tcPr>
            <w:tcW w:w="2116" w:type="dxa"/>
            <w:tcBorders>
              <w:top w:val="single" w:sz="8" w:space="0" w:color="auto"/>
            </w:tcBorders>
            <w:shd w:val="clear" w:color="auto" w:fill="auto"/>
            <w:noWrap/>
            <w:vAlign w:val="bottom"/>
          </w:tcPr>
          <w:p w:rsidR="003B3CFD" w:rsidRDefault="003B3CFD" w:rsidP="00A364AF">
            <w:pPr>
              <w:rPr>
                <w:sz w:val="18"/>
                <w:szCs w:val="18"/>
              </w:rPr>
            </w:pPr>
          </w:p>
        </w:tc>
        <w:tc>
          <w:tcPr>
            <w:tcW w:w="1355" w:type="dxa"/>
            <w:tcBorders>
              <w:top w:val="single" w:sz="8" w:space="0" w:color="auto"/>
            </w:tcBorders>
            <w:shd w:val="clear" w:color="auto" w:fill="auto"/>
            <w:noWrap/>
            <w:vAlign w:val="bottom"/>
          </w:tcPr>
          <w:p w:rsidR="003B3CFD" w:rsidRDefault="003B3CFD" w:rsidP="00A364AF">
            <w:pPr>
              <w:jc w:val="center"/>
              <w:rPr>
                <w:sz w:val="20"/>
                <w:szCs w:val="20"/>
              </w:rPr>
            </w:pPr>
          </w:p>
        </w:tc>
        <w:tc>
          <w:tcPr>
            <w:tcW w:w="1000" w:type="dxa"/>
            <w:tcBorders>
              <w:top w:val="single" w:sz="8" w:space="0" w:color="auto"/>
              <w:left w:val="nil"/>
            </w:tcBorders>
            <w:shd w:val="clear" w:color="auto" w:fill="auto"/>
            <w:noWrap/>
            <w:vAlign w:val="bottom"/>
          </w:tcPr>
          <w:p w:rsidR="003B3CFD" w:rsidRDefault="003B3CFD" w:rsidP="00A364AF">
            <w:pPr>
              <w:jc w:val="center"/>
              <w:rPr>
                <w:sz w:val="20"/>
                <w:szCs w:val="20"/>
              </w:rPr>
            </w:pPr>
          </w:p>
        </w:tc>
        <w:tc>
          <w:tcPr>
            <w:tcW w:w="282"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95" w:type="dxa"/>
            <w:tcBorders>
              <w:top w:val="nil"/>
              <w:left w:val="single" w:sz="8" w:space="0" w:color="auto"/>
              <w:bottom w:val="single" w:sz="8" w:space="0" w:color="auto"/>
              <w:right w:val="single" w:sz="8" w:space="0" w:color="auto"/>
            </w:tcBorders>
            <w:shd w:val="clear" w:color="auto" w:fill="auto"/>
            <w:noWrap/>
            <w:vAlign w:val="center"/>
          </w:tcPr>
          <w:p w:rsidR="003B3CFD" w:rsidRPr="00A364AF" w:rsidRDefault="003B3CFD" w:rsidP="00A364AF">
            <w:pPr>
              <w:rPr>
                <w:b/>
                <w:sz w:val="18"/>
                <w:szCs w:val="18"/>
              </w:rPr>
            </w:pPr>
            <w:r w:rsidRPr="00A364AF">
              <w:rPr>
                <w:b/>
                <w:sz w:val="20"/>
                <w:szCs w:val="18"/>
              </w:rPr>
              <w:t>Overall</w:t>
            </w:r>
          </w:p>
        </w:tc>
        <w:tc>
          <w:tcPr>
            <w:tcW w:w="1334" w:type="dxa"/>
            <w:tcBorders>
              <w:top w:val="nil"/>
              <w:left w:val="nil"/>
              <w:bottom w:val="single" w:sz="8" w:space="0" w:color="auto"/>
              <w:right w:val="single" w:sz="8" w:space="0" w:color="auto"/>
            </w:tcBorders>
            <w:shd w:val="clear" w:color="auto" w:fill="auto"/>
            <w:noWrap/>
            <w:vAlign w:val="center"/>
          </w:tcPr>
          <w:p w:rsidR="003B3CFD" w:rsidRDefault="003B3CFD" w:rsidP="003B3CFD">
            <w:pPr>
              <w:jc w:val="center"/>
              <w:rPr>
                <w:b/>
                <w:bCs/>
                <w:sz w:val="20"/>
                <w:szCs w:val="20"/>
              </w:rPr>
            </w:pPr>
            <w:r>
              <w:rPr>
                <w:b/>
                <w:bCs/>
                <w:sz w:val="20"/>
                <w:szCs w:val="20"/>
              </w:rPr>
              <w:t>£14.50</w:t>
            </w:r>
          </w:p>
        </w:tc>
        <w:tc>
          <w:tcPr>
            <w:tcW w:w="1066" w:type="dxa"/>
            <w:tcBorders>
              <w:top w:val="nil"/>
              <w:left w:val="nil"/>
              <w:bottom w:val="single" w:sz="8" w:space="0" w:color="auto"/>
              <w:right w:val="single" w:sz="8" w:space="0" w:color="auto"/>
            </w:tcBorders>
            <w:shd w:val="clear" w:color="auto" w:fill="auto"/>
            <w:noWrap/>
            <w:vAlign w:val="center"/>
          </w:tcPr>
          <w:p w:rsidR="003B3CFD" w:rsidRDefault="003B3CFD" w:rsidP="003B3CFD">
            <w:pPr>
              <w:jc w:val="center"/>
              <w:rPr>
                <w:b/>
                <w:bCs/>
                <w:sz w:val="20"/>
                <w:szCs w:val="20"/>
              </w:rPr>
            </w:pPr>
            <w:r>
              <w:rPr>
                <w:b/>
                <w:bCs/>
                <w:sz w:val="20"/>
                <w:szCs w:val="20"/>
              </w:rPr>
              <w:t>£15.97</w:t>
            </w:r>
          </w:p>
        </w:tc>
        <w:tc>
          <w:tcPr>
            <w:tcW w:w="243" w:type="dxa"/>
            <w:tcBorders>
              <w:top w:val="nil"/>
              <w:left w:val="nil"/>
              <w:bottom w:val="nil"/>
              <w:right w:val="nil"/>
            </w:tcBorders>
            <w:shd w:val="clear" w:color="auto" w:fill="auto"/>
            <w:noWrap/>
            <w:vAlign w:val="bottom"/>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auto" w:fill="auto"/>
            <w:noWrap/>
            <w:vAlign w:val="bottom"/>
          </w:tcPr>
          <w:p w:rsidR="003B3CFD" w:rsidRDefault="003B3CFD">
            <w:pPr>
              <w:rPr>
                <w:sz w:val="20"/>
                <w:szCs w:val="20"/>
              </w:rPr>
            </w:pPr>
            <w:r>
              <w:rPr>
                <w:sz w:val="20"/>
                <w:szCs w:val="20"/>
              </w:rPr>
              <w:t>Senior Management</w:t>
            </w:r>
          </w:p>
        </w:tc>
        <w:tc>
          <w:tcPr>
            <w:tcW w:w="1358"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p>
        </w:tc>
        <w:tc>
          <w:tcPr>
            <w:tcW w:w="1075" w:type="dxa"/>
            <w:tcBorders>
              <w:top w:val="nil"/>
              <w:left w:val="nil"/>
              <w:bottom w:val="single" w:sz="8" w:space="0" w:color="auto"/>
              <w:right w:val="single" w:sz="8" w:space="0" w:color="auto"/>
            </w:tcBorders>
            <w:shd w:val="clear" w:color="auto" w:fill="auto"/>
            <w:noWrap/>
            <w:vAlign w:val="bottom"/>
          </w:tcPr>
          <w:p w:rsidR="003B3CFD" w:rsidRDefault="003B3CFD">
            <w:pPr>
              <w:jc w:val="center"/>
              <w:rPr>
                <w:sz w:val="20"/>
                <w:szCs w:val="20"/>
              </w:rPr>
            </w:pPr>
            <w:r>
              <w:rPr>
                <w:sz w:val="20"/>
                <w:szCs w:val="20"/>
              </w:rPr>
              <w:t>£61.19</w:t>
            </w:r>
          </w:p>
        </w:tc>
      </w:tr>
      <w:tr w:rsidR="003B3CFD" w:rsidTr="003B3CFD">
        <w:trPr>
          <w:trHeight w:val="60"/>
        </w:trPr>
        <w:tc>
          <w:tcPr>
            <w:tcW w:w="2116" w:type="dxa"/>
            <w:shd w:val="clear" w:color="000000" w:fill="auto"/>
            <w:noWrap/>
            <w:vAlign w:val="center"/>
            <w:hideMark/>
          </w:tcPr>
          <w:p w:rsidR="003B3CFD" w:rsidRPr="00A21AA8" w:rsidRDefault="003B3CFD" w:rsidP="00A364AF">
            <w:pPr>
              <w:rPr>
                <w:rFonts w:eastAsia="Times New Roman"/>
                <w:b/>
                <w:bCs/>
                <w:color w:val="000000"/>
                <w:sz w:val="22"/>
                <w:szCs w:val="22"/>
                <w:lang w:eastAsia="en-GB"/>
              </w:rPr>
            </w:pPr>
          </w:p>
        </w:tc>
        <w:tc>
          <w:tcPr>
            <w:tcW w:w="1355" w:type="dxa"/>
            <w:shd w:val="clear" w:color="000000" w:fill="auto"/>
            <w:noWrap/>
            <w:vAlign w:val="center"/>
          </w:tcPr>
          <w:p w:rsidR="003B3CFD" w:rsidRDefault="003B3CFD" w:rsidP="00A364AF">
            <w:pPr>
              <w:jc w:val="center"/>
              <w:rPr>
                <w:b/>
                <w:bCs/>
                <w:sz w:val="20"/>
                <w:szCs w:val="20"/>
              </w:rPr>
            </w:pPr>
          </w:p>
        </w:tc>
        <w:tc>
          <w:tcPr>
            <w:tcW w:w="1000" w:type="dxa"/>
            <w:shd w:val="clear" w:color="000000" w:fill="auto"/>
            <w:noWrap/>
            <w:vAlign w:val="center"/>
          </w:tcPr>
          <w:p w:rsidR="003B3CFD" w:rsidRDefault="003B3CFD" w:rsidP="00A364AF">
            <w:pPr>
              <w:jc w:val="center"/>
              <w:rPr>
                <w:b/>
                <w:bCs/>
                <w:sz w:val="20"/>
                <w:szCs w:val="20"/>
              </w:rPr>
            </w:pPr>
          </w:p>
        </w:tc>
        <w:tc>
          <w:tcPr>
            <w:tcW w:w="282" w:type="dxa"/>
            <w:tcBorders>
              <w:top w:val="nil"/>
              <w:left w:val="nil"/>
              <w:bottom w:val="nil"/>
            </w:tcBorders>
            <w:shd w:val="clear" w:color="auto" w:fill="auto"/>
            <w:noWrap/>
            <w:vAlign w:val="bottom"/>
            <w:hideMark/>
          </w:tcPr>
          <w:p w:rsidR="003B3CFD" w:rsidRPr="00711CDA" w:rsidRDefault="003B3CFD" w:rsidP="00A364AF">
            <w:pPr>
              <w:rPr>
                <w:rFonts w:eastAsia="Times New Roman"/>
                <w:color w:val="000000"/>
                <w:sz w:val="20"/>
                <w:szCs w:val="20"/>
                <w:lang w:eastAsia="en-GB"/>
              </w:rPr>
            </w:pPr>
          </w:p>
        </w:tc>
        <w:tc>
          <w:tcPr>
            <w:tcW w:w="2195" w:type="dxa"/>
            <w:tcBorders>
              <w:top w:val="single" w:sz="8" w:space="0" w:color="auto"/>
            </w:tcBorders>
            <w:shd w:val="clear" w:color="000000" w:fill="auto"/>
            <w:noWrap/>
            <w:vAlign w:val="center"/>
          </w:tcPr>
          <w:p w:rsidR="003B3CFD" w:rsidRPr="00711CDA" w:rsidRDefault="003B3CFD" w:rsidP="00A364AF">
            <w:pPr>
              <w:rPr>
                <w:rFonts w:eastAsia="Times New Roman"/>
                <w:b/>
                <w:bCs/>
                <w:color w:val="000000"/>
                <w:sz w:val="20"/>
                <w:szCs w:val="20"/>
                <w:lang w:eastAsia="en-GB"/>
              </w:rPr>
            </w:pPr>
          </w:p>
        </w:tc>
        <w:tc>
          <w:tcPr>
            <w:tcW w:w="1334" w:type="dxa"/>
            <w:tcBorders>
              <w:top w:val="single" w:sz="8" w:space="0" w:color="auto"/>
            </w:tcBorders>
            <w:shd w:val="clear" w:color="000000" w:fill="auto"/>
            <w:noWrap/>
            <w:vAlign w:val="center"/>
          </w:tcPr>
          <w:p w:rsidR="003B3CFD" w:rsidRDefault="003B3CFD" w:rsidP="00A364AF">
            <w:pPr>
              <w:jc w:val="center"/>
              <w:rPr>
                <w:b/>
                <w:bCs/>
                <w:sz w:val="20"/>
                <w:szCs w:val="20"/>
              </w:rPr>
            </w:pPr>
          </w:p>
        </w:tc>
        <w:tc>
          <w:tcPr>
            <w:tcW w:w="1066" w:type="dxa"/>
            <w:tcBorders>
              <w:top w:val="single" w:sz="8" w:space="0" w:color="auto"/>
              <w:left w:val="nil"/>
            </w:tcBorders>
            <w:shd w:val="clear" w:color="auto" w:fill="auto"/>
            <w:noWrap/>
            <w:vAlign w:val="center"/>
          </w:tcPr>
          <w:p w:rsidR="003B3CFD" w:rsidRDefault="003B3CFD" w:rsidP="00A364AF">
            <w:pPr>
              <w:jc w:val="center"/>
              <w:rPr>
                <w:b/>
                <w:bCs/>
                <w:sz w:val="20"/>
                <w:szCs w:val="20"/>
              </w:rPr>
            </w:pPr>
          </w:p>
        </w:tc>
        <w:tc>
          <w:tcPr>
            <w:tcW w:w="243" w:type="dxa"/>
            <w:tcBorders>
              <w:top w:val="nil"/>
              <w:left w:val="nil"/>
              <w:bottom w:val="nil"/>
              <w:right w:val="nil"/>
            </w:tcBorders>
            <w:shd w:val="clear" w:color="auto" w:fill="auto"/>
            <w:noWrap/>
            <w:vAlign w:val="bottom"/>
            <w:hideMark/>
          </w:tcPr>
          <w:p w:rsidR="003B3CFD" w:rsidRPr="00711CDA" w:rsidRDefault="003B3CFD" w:rsidP="00A364AF">
            <w:pPr>
              <w:rPr>
                <w:rFonts w:eastAsia="Times New Roman"/>
                <w:color w:val="000000"/>
                <w:sz w:val="20"/>
                <w:szCs w:val="20"/>
                <w:lang w:eastAsia="en-GB"/>
              </w:rPr>
            </w:pPr>
          </w:p>
        </w:tc>
        <w:tc>
          <w:tcPr>
            <w:tcW w:w="2166" w:type="dxa"/>
            <w:tcBorders>
              <w:top w:val="nil"/>
              <w:left w:val="single" w:sz="8" w:space="0" w:color="auto"/>
              <w:bottom w:val="single" w:sz="8" w:space="0" w:color="auto"/>
              <w:right w:val="single" w:sz="8" w:space="0" w:color="auto"/>
            </w:tcBorders>
            <w:shd w:val="clear" w:color="000000" w:fill="DCE6F1"/>
            <w:noWrap/>
            <w:vAlign w:val="center"/>
            <w:hideMark/>
          </w:tcPr>
          <w:p w:rsidR="003B3CFD" w:rsidRPr="00711CDA" w:rsidRDefault="003B3CFD" w:rsidP="00A364AF">
            <w:pPr>
              <w:rPr>
                <w:rFonts w:eastAsia="Times New Roman"/>
                <w:b/>
                <w:bCs/>
                <w:color w:val="000000"/>
                <w:sz w:val="20"/>
                <w:szCs w:val="20"/>
                <w:lang w:eastAsia="en-GB"/>
              </w:rPr>
            </w:pPr>
            <w:r>
              <w:rPr>
                <w:rFonts w:eastAsia="Times New Roman"/>
                <w:b/>
                <w:bCs/>
                <w:color w:val="000000"/>
                <w:sz w:val="20"/>
                <w:szCs w:val="20"/>
                <w:lang w:eastAsia="en-GB"/>
              </w:rPr>
              <w:t>Overall</w:t>
            </w:r>
          </w:p>
        </w:tc>
        <w:tc>
          <w:tcPr>
            <w:tcW w:w="1358" w:type="dxa"/>
            <w:tcBorders>
              <w:top w:val="nil"/>
              <w:left w:val="nil"/>
              <w:bottom w:val="single" w:sz="8" w:space="0" w:color="auto"/>
              <w:right w:val="single" w:sz="8" w:space="0" w:color="auto"/>
            </w:tcBorders>
            <w:shd w:val="clear" w:color="000000" w:fill="DCE6F1"/>
            <w:noWrap/>
            <w:vAlign w:val="center"/>
          </w:tcPr>
          <w:p w:rsidR="003B3CFD" w:rsidRDefault="003B3CFD" w:rsidP="003B3CFD">
            <w:pPr>
              <w:jc w:val="center"/>
              <w:rPr>
                <w:b/>
                <w:bCs/>
                <w:sz w:val="20"/>
                <w:szCs w:val="20"/>
              </w:rPr>
            </w:pPr>
            <w:r>
              <w:rPr>
                <w:b/>
                <w:bCs/>
                <w:sz w:val="20"/>
                <w:szCs w:val="20"/>
              </w:rPr>
              <w:t>£14.53</w:t>
            </w:r>
          </w:p>
        </w:tc>
        <w:tc>
          <w:tcPr>
            <w:tcW w:w="1075" w:type="dxa"/>
            <w:tcBorders>
              <w:top w:val="nil"/>
              <w:left w:val="nil"/>
              <w:bottom w:val="single" w:sz="8" w:space="0" w:color="auto"/>
              <w:right w:val="single" w:sz="8" w:space="0" w:color="auto"/>
            </w:tcBorders>
            <w:shd w:val="clear" w:color="000000" w:fill="DCE6F1"/>
            <w:noWrap/>
            <w:vAlign w:val="center"/>
          </w:tcPr>
          <w:p w:rsidR="003B3CFD" w:rsidRDefault="003B3CFD" w:rsidP="003B3CFD">
            <w:pPr>
              <w:jc w:val="center"/>
              <w:rPr>
                <w:b/>
                <w:bCs/>
                <w:sz w:val="20"/>
                <w:szCs w:val="20"/>
              </w:rPr>
            </w:pPr>
            <w:r>
              <w:rPr>
                <w:b/>
                <w:bCs/>
                <w:sz w:val="20"/>
                <w:szCs w:val="20"/>
              </w:rPr>
              <w:t>£16.07</w:t>
            </w:r>
          </w:p>
        </w:tc>
      </w:tr>
    </w:tbl>
    <w:p w:rsidR="00CD0329" w:rsidRPr="00EA0E47" w:rsidRDefault="00CD0329" w:rsidP="008A22C6">
      <w:pPr>
        <w:rPr>
          <w:b/>
          <w:sz w:val="20"/>
          <w:szCs w:val="22"/>
        </w:rPr>
      </w:pPr>
    </w:p>
    <w:p w:rsidR="00A364AF" w:rsidRPr="000540D8" w:rsidRDefault="00CD0329" w:rsidP="008A22C6">
      <w:pPr>
        <w:rPr>
          <w:sz w:val="22"/>
          <w:szCs w:val="22"/>
        </w:rPr>
      </w:pPr>
      <w:r w:rsidRPr="000540D8">
        <w:rPr>
          <w:b/>
          <w:sz w:val="22"/>
          <w:szCs w:val="22"/>
        </w:rPr>
        <w:t>Commentary</w:t>
      </w:r>
      <w:r w:rsidR="00F830D6" w:rsidRPr="000540D8">
        <w:rPr>
          <w:b/>
          <w:sz w:val="22"/>
          <w:szCs w:val="22"/>
        </w:rPr>
        <w:t xml:space="preserve">: </w:t>
      </w:r>
      <w:r w:rsidR="009B7C63" w:rsidRPr="000540D8">
        <w:rPr>
          <w:sz w:val="22"/>
          <w:szCs w:val="22"/>
        </w:rPr>
        <w:t xml:space="preserve"> The average salary for the Council is </w:t>
      </w:r>
      <w:r w:rsidR="0006296D" w:rsidRPr="000540D8">
        <w:rPr>
          <w:sz w:val="22"/>
          <w:szCs w:val="22"/>
        </w:rPr>
        <w:t>£ 29,863.70 (as at 31 March 2017)</w:t>
      </w:r>
      <w:r w:rsidR="003B03DB" w:rsidRPr="000540D8">
        <w:rPr>
          <w:sz w:val="22"/>
          <w:szCs w:val="22"/>
        </w:rPr>
        <w:t xml:space="preserve">. The City Council remains the </w:t>
      </w:r>
      <w:r w:rsidR="003B03DB" w:rsidRPr="00B00819">
        <w:rPr>
          <w:b/>
          <w:sz w:val="22"/>
          <w:szCs w:val="22"/>
        </w:rPr>
        <w:t>only</w:t>
      </w:r>
      <w:r w:rsidR="009B7C63" w:rsidRPr="000540D8">
        <w:rPr>
          <w:sz w:val="22"/>
          <w:szCs w:val="22"/>
        </w:rPr>
        <w:t xml:space="preserve"> </w:t>
      </w:r>
      <w:r w:rsidR="003B03DB" w:rsidRPr="000540D8">
        <w:rPr>
          <w:sz w:val="22"/>
          <w:szCs w:val="22"/>
        </w:rPr>
        <w:t>local authority</w:t>
      </w:r>
      <w:r w:rsidR="009B7C63" w:rsidRPr="000540D8">
        <w:rPr>
          <w:sz w:val="22"/>
          <w:szCs w:val="22"/>
        </w:rPr>
        <w:t xml:space="preserve"> </w:t>
      </w:r>
      <w:r w:rsidR="003B03DB" w:rsidRPr="000540D8">
        <w:rPr>
          <w:sz w:val="22"/>
          <w:szCs w:val="22"/>
        </w:rPr>
        <w:t xml:space="preserve">within Oxfordshire </w:t>
      </w:r>
      <w:r w:rsidR="009B7C63" w:rsidRPr="000540D8">
        <w:rPr>
          <w:sz w:val="22"/>
          <w:szCs w:val="22"/>
        </w:rPr>
        <w:t xml:space="preserve">that is a Living Wage Champion. </w:t>
      </w:r>
      <w:r w:rsidR="00701098" w:rsidRPr="000540D8">
        <w:rPr>
          <w:sz w:val="22"/>
          <w:szCs w:val="22"/>
        </w:rPr>
        <w:t xml:space="preserve">The Council has also built the OLW into its Procurement process, so that all contractors are required to pay at least the OLW for agency staff engaged on council contracts. </w:t>
      </w:r>
      <w:r w:rsidR="009B7C63" w:rsidRPr="000540D8">
        <w:rPr>
          <w:sz w:val="22"/>
          <w:szCs w:val="22"/>
        </w:rPr>
        <w:t xml:space="preserve">This </w:t>
      </w:r>
      <w:r w:rsidR="00701098" w:rsidRPr="000540D8">
        <w:rPr>
          <w:sz w:val="22"/>
          <w:szCs w:val="22"/>
        </w:rPr>
        <w:t xml:space="preserve">policy </w:t>
      </w:r>
      <w:r w:rsidR="009B7C63" w:rsidRPr="000540D8">
        <w:rPr>
          <w:sz w:val="22"/>
          <w:szCs w:val="22"/>
        </w:rPr>
        <w:t xml:space="preserve">ensures that Council </w:t>
      </w:r>
      <w:proofErr w:type="gramStart"/>
      <w:r w:rsidR="009B7C63" w:rsidRPr="000540D8">
        <w:rPr>
          <w:sz w:val="22"/>
          <w:szCs w:val="22"/>
        </w:rPr>
        <w:t>staff are</w:t>
      </w:r>
      <w:proofErr w:type="gramEnd"/>
      <w:r w:rsidR="009B7C63" w:rsidRPr="000540D8">
        <w:rPr>
          <w:sz w:val="22"/>
          <w:szCs w:val="22"/>
        </w:rPr>
        <w:t xml:space="preserve"> paid a decent wage</w:t>
      </w:r>
      <w:r w:rsidR="00701098" w:rsidRPr="000540D8">
        <w:rPr>
          <w:sz w:val="22"/>
          <w:szCs w:val="22"/>
        </w:rPr>
        <w:t xml:space="preserve"> and helps</w:t>
      </w:r>
      <w:r w:rsidR="009B7C63" w:rsidRPr="000540D8">
        <w:rPr>
          <w:sz w:val="22"/>
          <w:szCs w:val="22"/>
        </w:rPr>
        <w:t xml:space="preserve"> to offset the high cost of accommodation within the city, which is the most expensive area to live in the UK. </w:t>
      </w:r>
      <w:r w:rsidR="00701098" w:rsidRPr="000540D8">
        <w:rPr>
          <w:sz w:val="22"/>
          <w:szCs w:val="22"/>
        </w:rPr>
        <w:t xml:space="preserve">The Council’s first </w:t>
      </w:r>
      <w:r w:rsidR="00701098" w:rsidRPr="000540D8">
        <w:rPr>
          <w:i/>
          <w:sz w:val="22"/>
          <w:szCs w:val="22"/>
        </w:rPr>
        <w:t>Gender Pay Gap</w:t>
      </w:r>
      <w:r w:rsidR="00701098" w:rsidRPr="000540D8">
        <w:rPr>
          <w:sz w:val="22"/>
          <w:szCs w:val="22"/>
        </w:rPr>
        <w:t xml:space="preserve"> report</w:t>
      </w:r>
      <w:r w:rsidR="0006296D" w:rsidRPr="000540D8">
        <w:rPr>
          <w:sz w:val="22"/>
          <w:szCs w:val="22"/>
        </w:rPr>
        <w:t xml:space="preserve"> (</w:t>
      </w:r>
      <w:r w:rsidR="00701098" w:rsidRPr="000540D8">
        <w:rPr>
          <w:sz w:val="22"/>
          <w:szCs w:val="22"/>
        </w:rPr>
        <w:t>covering the reporting period 1 April 2016 to 31 March 2017</w:t>
      </w:r>
      <w:r w:rsidR="0006296D" w:rsidRPr="000540D8">
        <w:rPr>
          <w:sz w:val="22"/>
          <w:szCs w:val="22"/>
        </w:rPr>
        <w:t>)</w:t>
      </w:r>
      <w:r w:rsidR="00701098" w:rsidRPr="000540D8">
        <w:rPr>
          <w:sz w:val="22"/>
          <w:szCs w:val="22"/>
        </w:rPr>
        <w:t xml:space="preserve"> indicates that in relation to </w:t>
      </w:r>
      <w:r w:rsidR="00237A80" w:rsidRPr="000540D8">
        <w:rPr>
          <w:sz w:val="22"/>
          <w:szCs w:val="22"/>
        </w:rPr>
        <w:t xml:space="preserve">both </w:t>
      </w:r>
      <w:r w:rsidR="00701098" w:rsidRPr="000540D8">
        <w:rPr>
          <w:sz w:val="22"/>
          <w:szCs w:val="22"/>
        </w:rPr>
        <w:t xml:space="preserve">mean and median basic </w:t>
      </w:r>
      <w:r w:rsidR="00237A80" w:rsidRPr="000540D8">
        <w:rPr>
          <w:sz w:val="22"/>
          <w:szCs w:val="22"/>
        </w:rPr>
        <w:t>pay</w:t>
      </w:r>
      <w:r w:rsidR="00701098" w:rsidRPr="000540D8">
        <w:rPr>
          <w:sz w:val="22"/>
          <w:szCs w:val="22"/>
        </w:rPr>
        <w:t xml:space="preserve"> there is no ‘pay gap’ between female and male staff</w:t>
      </w:r>
      <w:r w:rsidR="0006296D" w:rsidRPr="000540D8">
        <w:rPr>
          <w:sz w:val="22"/>
          <w:szCs w:val="22"/>
        </w:rPr>
        <w:t>,</w:t>
      </w:r>
      <w:r w:rsidR="00701098" w:rsidRPr="000540D8">
        <w:rPr>
          <w:sz w:val="22"/>
          <w:szCs w:val="22"/>
        </w:rPr>
        <w:t xml:space="preserve"> which is a reflection of the changes implemented through successive local pay agreements to tackle issues around low pay.  </w:t>
      </w:r>
    </w:p>
    <w:p w:rsidR="00437951" w:rsidRDefault="00437951" w:rsidP="008A22C6">
      <w:pPr>
        <w:rPr>
          <w:b/>
          <w:szCs w:val="22"/>
        </w:rPr>
      </w:pPr>
    </w:p>
    <w:p w:rsidR="00F830D6" w:rsidRDefault="00F830D6" w:rsidP="008A22C6">
      <w:pPr>
        <w:rPr>
          <w:szCs w:val="22"/>
        </w:rPr>
      </w:pPr>
      <w:r>
        <w:rPr>
          <w:b/>
          <w:szCs w:val="22"/>
        </w:rPr>
        <w:lastRenderedPageBreak/>
        <w:t>6. OTHER WORKFORCE DATA</w:t>
      </w:r>
    </w:p>
    <w:tbl>
      <w:tblPr>
        <w:tblW w:w="15180" w:type="dxa"/>
        <w:tblInd w:w="93" w:type="dxa"/>
        <w:tblLook w:val="04A0" w:firstRow="1" w:lastRow="0" w:firstColumn="1" w:lastColumn="0" w:noHBand="0" w:noVBand="1"/>
      </w:tblPr>
      <w:tblGrid>
        <w:gridCol w:w="3696"/>
        <w:gridCol w:w="400"/>
        <w:gridCol w:w="836"/>
        <w:gridCol w:w="836"/>
        <w:gridCol w:w="936"/>
        <w:gridCol w:w="820"/>
        <w:gridCol w:w="400"/>
        <w:gridCol w:w="836"/>
        <w:gridCol w:w="836"/>
        <w:gridCol w:w="936"/>
        <w:gridCol w:w="820"/>
        <w:gridCol w:w="400"/>
        <w:gridCol w:w="836"/>
        <w:gridCol w:w="836"/>
        <w:gridCol w:w="936"/>
        <w:gridCol w:w="820"/>
      </w:tblGrid>
      <w:tr w:rsidR="00591D91" w:rsidRPr="00591D91" w:rsidTr="00701098">
        <w:trPr>
          <w:trHeight w:val="270"/>
        </w:trPr>
        <w:tc>
          <w:tcPr>
            <w:tcW w:w="3696" w:type="dxa"/>
            <w:tcBorders>
              <w:top w:val="nil"/>
              <w:left w:val="nil"/>
              <w:bottom w:val="nil"/>
              <w:right w:val="nil"/>
            </w:tcBorders>
            <w:shd w:val="clear" w:color="auto" w:fill="auto"/>
            <w:vAlign w:val="bottom"/>
            <w:hideMark/>
          </w:tcPr>
          <w:p w:rsidR="00591D91" w:rsidRPr="00591D91" w:rsidRDefault="00591D91"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single" w:sz="8" w:space="0" w:color="auto"/>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r>
      <w:tr w:rsidR="00591D91" w:rsidRPr="00591D91" w:rsidTr="00701098">
        <w:trPr>
          <w:trHeight w:val="270"/>
        </w:trPr>
        <w:tc>
          <w:tcPr>
            <w:tcW w:w="3696" w:type="dxa"/>
            <w:tcBorders>
              <w:top w:val="nil"/>
              <w:left w:val="nil"/>
              <w:bottom w:val="nil"/>
              <w:right w:val="nil"/>
            </w:tcBorders>
            <w:shd w:val="clear" w:color="auto" w:fill="auto"/>
            <w:vAlign w:val="bottom"/>
            <w:hideMark/>
          </w:tcPr>
          <w:p w:rsidR="00591D91" w:rsidRPr="00591D91" w:rsidRDefault="00591D91"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3428" w:type="dxa"/>
            <w:gridSpan w:val="4"/>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Warnings given during 2015/16</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3428" w:type="dxa"/>
            <w:gridSpan w:val="4"/>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Warnings given during 2016/17</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3428" w:type="dxa"/>
            <w:gridSpan w:val="4"/>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Warnings given during 2017/18</w:t>
            </w:r>
          </w:p>
        </w:tc>
      </w:tr>
      <w:tr w:rsidR="00952439" w:rsidRPr="00591D91" w:rsidTr="00701098">
        <w:trPr>
          <w:trHeight w:val="495"/>
        </w:trPr>
        <w:tc>
          <w:tcPr>
            <w:tcW w:w="3696"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591D91" w:rsidRPr="00591D91" w:rsidRDefault="00591D91" w:rsidP="00591D91">
            <w:pPr>
              <w:rPr>
                <w:rFonts w:eastAsia="Times New Roman"/>
                <w:b/>
                <w:bCs/>
                <w:color w:val="000000"/>
                <w:sz w:val="20"/>
                <w:szCs w:val="20"/>
                <w:lang w:eastAsia="en-GB"/>
              </w:rPr>
            </w:pPr>
            <w:proofErr w:type="spellStart"/>
            <w:r w:rsidRPr="00591D91">
              <w:rPr>
                <w:rFonts w:eastAsia="Times New Roman"/>
                <w:b/>
                <w:bCs/>
                <w:color w:val="000000"/>
                <w:sz w:val="20"/>
                <w:szCs w:val="20"/>
                <w:lang w:eastAsia="en-GB"/>
              </w:rPr>
              <w:t>Disciplinaries</w:t>
            </w:r>
            <w:proofErr w:type="spellEnd"/>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1st Written</w:t>
            </w:r>
          </w:p>
        </w:tc>
        <w:tc>
          <w:tcPr>
            <w:tcW w:w="836" w:type="dxa"/>
            <w:tcBorders>
              <w:top w:val="nil"/>
              <w:left w:val="nil"/>
              <w:bottom w:val="single" w:sz="8" w:space="0" w:color="auto"/>
              <w:right w:val="nil"/>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Final Written</w:t>
            </w:r>
          </w:p>
        </w:tc>
        <w:tc>
          <w:tcPr>
            <w:tcW w:w="9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Informal Warning</w:t>
            </w:r>
          </w:p>
        </w:tc>
        <w:tc>
          <w:tcPr>
            <w:tcW w:w="820" w:type="dxa"/>
            <w:tcBorders>
              <w:top w:val="nil"/>
              <w:left w:val="nil"/>
              <w:bottom w:val="single" w:sz="8" w:space="0" w:color="auto"/>
              <w:right w:val="single" w:sz="8" w:space="0" w:color="auto"/>
            </w:tcBorders>
            <w:shd w:val="clear" w:color="auto" w:fill="DBE5F1" w:themeFill="accent1" w:themeFillTint="33"/>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Total</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1st Written</w:t>
            </w:r>
          </w:p>
        </w:tc>
        <w:tc>
          <w:tcPr>
            <w:tcW w:w="836" w:type="dxa"/>
            <w:tcBorders>
              <w:top w:val="nil"/>
              <w:left w:val="nil"/>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Final Written</w:t>
            </w:r>
          </w:p>
        </w:tc>
        <w:tc>
          <w:tcPr>
            <w:tcW w:w="936" w:type="dxa"/>
            <w:tcBorders>
              <w:top w:val="nil"/>
              <w:left w:val="nil"/>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Informal Warning</w:t>
            </w:r>
          </w:p>
        </w:tc>
        <w:tc>
          <w:tcPr>
            <w:tcW w:w="820" w:type="dxa"/>
            <w:tcBorders>
              <w:top w:val="nil"/>
              <w:left w:val="nil"/>
              <w:bottom w:val="single" w:sz="8" w:space="0" w:color="auto"/>
              <w:right w:val="single" w:sz="8" w:space="0" w:color="auto"/>
            </w:tcBorders>
            <w:shd w:val="clear" w:color="auto" w:fill="DBE5F1" w:themeFill="accent1" w:themeFillTint="33"/>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Total</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1st Written</w:t>
            </w:r>
          </w:p>
        </w:tc>
        <w:tc>
          <w:tcPr>
            <w:tcW w:w="836" w:type="dxa"/>
            <w:tcBorders>
              <w:top w:val="nil"/>
              <w:left w:val="nil"/>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Final Written</w:t>
            </w:r>
          </w:p>
        </w:tc>
        <w:tc>
          <w:tcPr>
            <w:tcW w:w="936" w:type="dxa"/>
            <w:tcBorders>
              <w:top w:val="nil"/>
              <w:left w:val="nil"/>
              <w:bottom w:val="single" w:sz="8" w:space="0" w:color="auto"/>
              <w:right w:val="single" w:sz="8" w:space="0" w:color="auto"/>
            </w:tcBorders>
            <w:shd w:val="clear" w:color="auto" w:fill="DBE5F1" w:themeFill="accent1" w:themeFillTint="33"/>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Informal Warning</w:t>
            </w:r>
          </w:p>
        </w:tc>
        <w:tc>
          <w:tcPr>
            <w:tcW w:w="820" w:type="dxa"/>
            <w:tcBorders>
              <w:top w:val="nil"/>
              <w:left w:val="nil"/>
              <w:bottom w:val="single" w:sz="8" w:space="0" w:color="auto"/>
              <w:right w:val="single" w:sz="8" w:space="0" w:color="auto"/>
            </w:tcBorders>
            <w:shd w:val="clear" w:color="auto" w:fill="DBE5F1" w:themeFill="accent1" w:themeFillTint="33"/>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Total</w:t>
            </w:r>
          </w:p>
        </w:tc>
      </w:tr>
      <w:tr w:rsidR="00591D91" w:rsidRPr="00591D91" w:rsidTr="00701098">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591D91" w:rsidRPr="00591D91" w:rsidRDefault="00591D91" w:rsidP="00591D91">
            <w:pPr>
              <w:rPr>
                <w:rFonts w:eastAsia="Times New Roman"/>
                <w:color w:val="000000"/>
                <w:sz w:val="20"/>
                <w:szCs w:val="20"/>
                <w:lang w:eastAsia="en-GB"/>
              </w:rPr>
            </w:pPr>
            <w:r w:rsidRPr="00591D91">
              <w:rPr>
                <w:rFonts w:eastAsia="Times New Roman"/>
                <w:color w:val="000000"/>
                <w:sz w:val="20"/>
                <w:szCs w:val="20"/>
                <w:lang w:eastAsia="en-GB"/>
              </w:rPr>
              <w:t>Breach of Data Protection policy</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single" w:sz="8" w:space="0" w:color="auto"/>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936" w:type="dxa"/>
            <w:tcBorders>
              <w:top w:val="single" w:sz="8" w:space="0" w:color="auto"/>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c>
          <w:tcPr>
            <w:tcW w:w="936" w:type="dxa"/>
            <w:tcBorders>
              <w:top w:val="nil"/>
              <w:left w:val="nil"/>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r>
      <w:tr w:rsidR="00591D91" w:rsidRPr="00591D91" w:rsidTr="00701098">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591D91" w:rsidRPr="00591D91" w:rsidRDefault="00591D91" w:rsidP="00591D91">
            <w:pPr>
              <w:rPr>
                <w:rFonts w:eastAsia="Times New Roman"/>
                <w:color w:val="000000"/>
                <w:sz w:val="20"/>
                <w:szCs w:val="20"/>
                <w:lang w:eastAsia="en-GB"/>
              </w:rPr>
            </w:pPr>
            <w:r w:rsidRPr="00591D91">
              <w:rPr>
                <w:rFonts w:eastAsia="Times New Roman"/>
                <w:color w:val="000000"/>
                <w:sz w:val="20"/>
                <w:szCs w:val="20"/>
                <w:lang w:eastAsia="en-GB"/>
              </w:rPr>
              <w:t>Breach of H&amp;S policy</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3</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3</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c>
          <w:tcPr>
            <w:tcW w:w="936" w:type="dxa"/>
            <w:tcBorders>
              <w:top w:val="nil"/>
              <w:left w:val="nil"/>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r>
      <w:tr w:rsidR="00591D91" w:rsidRPr="00591D91" w:rsidTr="00701098">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591D91" w:rsidRPr="00591D91" w:rsidRDefault="00591D91" w:rsidP="00591D91">
            <w:pPr>
              <w:rPr>
                <w:rFonts w:eastAsia="Times New Roman"/>
                <w:color w:val="000000"/>
                <w:sz w:val="20"/>
                <w:szCs w:val="20"/>
                <w:lang w:eastAsia="en-GB"/>
              </w:rPr>
            </w:pPr>
            <w:r w:rsidRPr="00591D91">
              <w:rPr>
                <w:rFonts w:eastAsia="Times New Roman"/>
                <w:color w:val="000000"/>
                <w:sz w:val="20"/>
                <w:szCs w:val="20"/>
                <w:lang w:eastAsia="en-GB"/>
              </w:rPr>
              <w:t>Damage to Council Property</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6</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14</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22</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12</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18</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32</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12</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4</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17</w:t>
            </w:r>
          </w:p>
        </w:tc>
      </w:tr>
      <w:tr w:rsidR="00591D91" w:rsidRPr="00591D91" w:rsidTr="00701098">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591D91" w:rsidRPr="00591D91" w:rsidRDefault="00591D91" w:rsidP="00591D91">
            <w:pPr>
              <w:rPr>
                <w:rFonts w:eastAsia="Times New Roman"/>
                <w:color w:val="000000"/>
                <w:sz w:val="20"/>
                <w:szCs w:val="20"/>
                <w:lang w:eastAsia="en-GB"/>
              </w:rPr>
            </w:pPr>
            <w:r w:rsidRPr="00591D91">
              <w:rPr>
                <w:rFonts w:eastAsia="Times New Roman"/>
                <w:color w:val="000000"/>
                <w:sz w:val="20"/>
                <w:szCs w:val="20"/>
                <w:lang w:eastAsia="en-GB"/>
              </w:rPr>
              <w:t>Damage to Council reputation</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4</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3</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6</w:t>
            </w:r>
          </w:p>
        </w:tc>
      </w:tr>
      <w:tr w:rsidR="00591D91" w:rsidRPr="00591D91" w:rsidTr="00701098">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591D91" w:rsidRPr="00591D91" w:rsidRDefault="00591D91" w:rsidP="00591D91">
            <w:pPr>
              <w:rPr>
                <w:rFonts w:eastAsia="Times New Roman"/>
                <w:color w:val="000000"/>
                <w:sz w:val="20"/>
                <w:szCs w:val="20"/>
                <w:lang w:eastAsia="en-GB"/>
              </w:rPr>
            </w:pPr>
            <w:r w:rsidRPr="00591D91">
              <w:rPr>
                <w:rFonts w:eastAsia="Times New Roman"/>
                <w:color w:val="000000"/>
                <w:sz w:val="20"/>
                <w:szCs w:val="20"/>
                <w:lang w:eastAsia="en-GB"/>
              </w:rPr>
              <w:t>Discrimination, bullying harassment</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c>
          <w:tcPr>
            <w:tcW w:w="936" w:type="dxa"/>
            <w:tcBorders>
              <w:top w:val="nil"/>
              <w:left w:val="nil"/>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bottom"/>
            <w:hideMark/>
          </w:tcPr>
          <w:p w:rsidR="00591D91" w:rsidRPr="00591D91" w:rsidRDefault="00591D91" w:rsidP="00591D91">
            <w:pPr>
              <w:rPr>
                <w:rFonts w:eastAsia="Times New Roman"/>
                <w:color w:val="000000"/>
                <w:sz w:val="18"/>
                <w:szCs w:val="18"/>
                <w:lang w:eastAsia="en-GB"/>
              </w:rPr>
            </w:pPr>
            <w:r w:rsidRPr="00591D91">
              <w:rPr>
                <w:rFonts w:eastAsia="Times New Roman"/>
                <w:color w:val="000000"/>
                <w:sz w:val="18"/>
                <w:szCs w:val="18"/>
                <w:lang w:eastAsia="en-GB"/>
              </w:rPr>
              <w:t> </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r>
      <w:tr w:rsidR="00591D91" w:rsidRPr="00591D91" w:rsidTr="00701098">
        <w:trPr>
          <w:trHeight w:val="36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591D91" w:rsidRPr="00591D91" w:rsidRDefault="00591D91" w:rsidP="00591D91">
            <w:pPr>
              <w:rPr>
                <w:rFonts w:eastAsia="Times New Roman"/>
                <w:color w:val="000000"/>
                <w:sz w:val="20"/>
                <w:szCs w:val="20"/>
                <w:lang w:eastAsia="en-GB"/>
              </w:rPr>
            </w:pPr>
            <w:r w:rsidRPr="00591D91">
              <w:rPr>
                <w:rFonts w:eastAsia="Times New Roman"/>
                <w:color w:val="000000"/>
                <w:sz w:val="20"/>
                <w:szCs w:val="20"/>
                <w:lang w:eastAsia="en-GB"/>
              </w:rPr>
              <w:t>Drug or alcohol misuse</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3</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3</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 </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r>
      <w:tr w:rsidR="00591D91" w:rsidRPr="00591D91" w:rsidTr="00701098">
        <w:trPr>
          <w:trHeight w:val="525"/>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591D91" w:rsidRPr="00591D91" w:rsidRDefault="00591D91" w:rsidP="00591D91">
            <w:pPr>
              <w:rPr>
                <w:rFonts w:eastAsia="Times New Roman"/>
                <w:color w:val="000000"/>
                <w:sz w:val="20"/>
                <w:szCs w:val="20"/>
                <w:lang w:eastAsia="en-GB"/>
              </w:rPr>
            </w:pPr>
            <w:r w:rsidRPr="00591D91">
              <w:rPr>
                <w:rFonts w:eastAsia="Times New Roman"/>
                <w:color w:val="000000"/>
                <w:sz w:val="20"/>
                <w:szCs w:val="20"/>
                <w:lang w:eastAsia="en-GB"/>
              </w:rPr>
              <w:t>Non-adherence to values and behaviours framework</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8</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3</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9</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17</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4</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6</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11</w:t>
            </w:r>
          </w:p>
        </w:tc>
      </w:tr>
      <w:tr w:rsidR="00591D91" w:rsidRPr="00591D91" w:rsidTr="00701098">
        <w:trPr>
          <w:trHeight w:val="570"/>
        </w:trPr>
        <w:tc>
          <w:tcPr>
            <w:tcW w:w="3696" w:type="dxa"/>
            <w:tcBorders>
              <w:top w:val="nil"/>
              <w:left w:val="single" w:sz="8" w:space="0" w:color="auto"/>
              <w:bottom w:val="single" w:sz="8" w:space="0" w:color="auto"/>
              <w:right w:val="single" w:sz="8" w:space="0" w:color="auto"/>
            </w:tcBorders>
            <w:shd w:val="clear" w:color="auto" w:fill="auto"/>
            <w:vAlign w:val="center"/>
            <w:hideMark/>
          </w:tcPr>
          <w:p w:rsidR="00591D91" w:rsidRPr="00591D91" w:rsidRDefault="00591D91" w:rsidP="00591D91">
            <w:pPr>
              <w:rPr>
                <w:rFonts w:eastAsia="Times New Roman"/>
                <w:color w:val="000000"/>
                <w:sz w:val="20"/>
                <w:szCs w:val="20"/>
                <w:lang w:eastAsia="en-GB"/>
              </w:rPr>
            </w:pPr>
            <w:r w:rsidRPr="00591D91">
              <w:rPr>
                <w:rFonts w:eastAsia="Times New Roman"/>
                <w:color w:val="000000"/>
                <w:sz w:val="20"/>
                <w:szCs w:val="20"/>
                <w:lang w:eastAsia="en-GB"/>
              </w:rPr>
              <w:t>Non-adherence/breach to Organisational policy or work processes</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4</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4</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10</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18</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9</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7</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26</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42</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12</w:t>
            </w:r>
          </w:p>
        </w:tc>
        <w:tc>
          <w:tcPr>
            <w:tcW w:w="8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5</w:t>
            </w:r>
          </w:p>
        </w:tc>
        <w:tc>
          <w:tcPr>
            <w:tcW w:w="936"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21</w:t>
            </w:r>
          </w:p>
        </w:tc>
        <w:tc>
          <w:tcPr>
            <w:tcW w:w="820" w:type="dxa"/>
            <w:tcBorders>
              <w:top w:val="nil"/>
              <w:left w:val="nil"/>
              <w:bottom w:val="single" w:sz="8" w:space="0" w:color="auto"/>
              <w:right w:val="single" w:sz="8" w:space="0" w:color="auto"/>
            </w:tcBorders>
            <w:shd w:val="clear" w:color="auto" w:fill="auto"/>
            <w:noWrap/>
            <w:vAlign w:val="center"/>
            <w:hideMark/>
          </w:tcPr>
          <w:p w:rsidR="00591D91" w:rsidRPr="00591D91" w:rsidRDefault="00591D91" w:rsidP="00591D91">
            <w:pPr>
              <w:jc w:val="center"/>
              <w:rPr>
                <w:rFonts w:eastAsia="Times New Roman"/>
                <w:color w:val="000000"/>
                <w:sz w:val="18"/>
                <w:szCs w:val="18"/>
                <w:lang w:eastAsia="en-GB"/>
              </w:rPr>
            </w:pPr>
            <w:r w:rsidRPr="00591D91">
              <w:rPr>
                <w:rFonts w:eastAsia="Times New Roman"/>
                <w:color w:val="000000"/>
                <w:sz w:val="18"/>
                <w:szCs w:val="18"/>
                <w:lang w:eastAsia="en-GB"/>
              </w:rPr>
              <w:t>38</w:t>
            </w:r>
          </w:p>
        </w:tc>
      </w:tr>
      <w:tr w:rsidR="00591D91" w:rsidRPr="00591D91" w:rsidTr="00701098">
        <w:trPr>
          <w:trHeight w:val="270"/>
        </w:trPr>
        <w:tc>
          <w:tcPr>
            <w:tcW w:w="3696" w:type="dxa"/>
            <w:tcBorders>
              <w:top w:val="nil"/>
              <w:left w:val="nil"/>
              <w:bottom w:val="nil"/>
              <w:right w:val="nil"/>
            </w:tcBorders>
            <w:shd w:val="clear" w:color="auto" w:fill="auto"/>
            <w:vAlign w:val="bottom"/>
            <w:hideMark/>
          </w:tcPr>
          <w:p w:rsidR="00591D91" w:rsidRPr="00591D91" w:rsidRDefault="00591D91"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single" w:sz="8" w:space="0" w:color="auto"/>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14</w:t>
            </w:r>
          </w:p>
        </w:tc>
        <w:tc>
          <w:tcPr>
            <w:tcW w:w="836" w:type="dxa"/>
            <w:tcBorders>
              <w:top w:val="nil"/>
              <w:left w:val="nil"/>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13</w:t>
            </w:r>
          </w:p>
        </w:tc>
        <w:tc>
          <w:tcPr>
            <w:tcW w:w="936" w:type="dxa"/>
            <w:tcBorders>
              <w:top w:val="nil"/>
              <w:left w:val="nil"/>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31</w:t>
            </w:r>
          </w:p>
        </w:tc>
        <w:tc>
          <w:tcPr>
            <w:tcW w:w="820" w:type="dxa"/>
            <w:tcBorders>
              <w:top w:val="nil"/>
              <w:left w:val="nil"/>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58</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28</w:t>
            </w:r>
          </w:p>
        </w:tc>
        <w:tc>
          <w:tcPr>
            <w:tcW w:w="836" w:type="dxa"/>
            <w:tcBorders>
              <w:top w:val="nil"/>
              <w:left w:val="nil"/>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20</w:t>
            </w:r>
          </w:p>
        </w:tc>
        <w:tc>
          <w:tcPr>
            <w:tcW w:w="936" w:type="dxa"/>
            <w:tcBorders>
              <w:top w:val="nil"/>
              <w:left w:val="nil"/>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56</w:t>
            </w:r>
          </w:p>
        </w:tc>
        <w:tc>
          <w:tcPr>
            <w:tcW w:w="820" w:type="dxa"/>
            <w:tcBorders>
              <w:top w:val="nil"/>
              <w:left w:val="nil"/>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104</w:t>
            </w: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single" w:sz="8" w:space="0" w:color="auto"/>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29</w:t>
            </w:r>
          </w:p>
        </w:tc>
        <w:tc>
          <w:tcPr>
            <w:tcW w:w="836" w:type="dxa"/>
            <w:tcBorders>
              <w:top w:val="nil"/>
              <w:left w:val="nil"/>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14</w:t>
            </w:r>
          </w:p>
        </w:tc>
        <w:tc>
          <w:tcPr>
            <w:tcW w:w="936" w:type="dxa"/>
            <w:tcBorders>
              <w:top w:val="nil"/>
              <w:left w:val="nil"/>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31</w:t>
            </w:r>
          </w:p>
        </w:tc>
        <w:tc>
          <w:tcPr>
            <w:tcW w:w="820" w:type="dxa"/>
            <w:tcBorders>
              <w:top w:val="nil"/>
              <w:left w:val="nil"/>
              <w:bottom w:val="single" w:sz="8" w:space="0" w:color="auto"/>
              <w:right w:val="single" w:sz="8" w:space="0" w:color="auto"/>
            </w:tcBorders>
            <w:shd w:val="clear" w:color="000000" w:fill="DCE6F1"/>
            <w:noWrap/>
            <w:vAlign w:val="center"/>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74</w:t>
            </w:r>
          </w:p>
        </w:tc>
      </w:tr>
      <w:tr w:rsidR="00591D91" w:rsidRPr="00591D91" w:rsidTr="00701098">
        <w:trPr>
          <w:trHeight w:val="300"/>
        </w:trPr>
        <w:tc>
          <w:tcPr>
            <w:tcW w:w="3696" w:type="dxa"/>
            <w:tcBorders>
              <w:top w:val="nil"/>
              <w:left w:val="nil"/>
              <w:bottom w:val="nil"/>
              <w:right w:val="nil"/>
            </w:tcBorders>
            <w:shd w:val="clear" w:color="auto" w:fill="auto"/>
            <w:vAlign w:val="bottom"/>
            <w:hideMark/>
          </w:tcPr>
          <w:p w:rsidR="00591D91" w:rsidRPr="00591D91" w:rsidRDefault="00591D91"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jc w:val="center"/>
              <w:rPr>
                <w:rFonts w:ascii="Calibri" w:eastAsia="Times New Roman" w:hAnsi="Calibri" w:cs="Times New Roman"/>
                <w:b/>
                <w:bCs/>
                <w:color w:val="000000"/>
                <w:sz w:val="22"/>
                <w:szCs w:val="22"/>
                <w:lang w:eastAsia="en-GB"/>
              </w:rPr>
            </w:pPr>
            <w:r w:rsidRPr="00591D91">
              <w:rPr>
                <w:rFonts w:ascii="Calibri" w:eastAsia="Times New Roman" w:hAnsi="Calibri" w:cs="Times New Roman"/>
                <w:b/>
                <w:bCs/>
                <w:color w:val="000000"/>
                <w:sz w:val="22"/>
                <w:szCs w:val="22"/>
                <w:lang w:eastAsia="en-GB"/>
              </w:rPr>
              <w:t>24%</w:t>
            </w:r>
          </w:p>
        </w:tc>
        <w:tc>
          <w:tcPr>
            <w:tcW w:w="836" w:type="dxa"/>
            <w:tcBorders>
              <w:top w:val="nil"/>
              <w:left w:val="nil"/>
              <w:bottom w:val="nil"/>
              <w:right w:val="nil"/>
            </w:tcBorders>
            <w:shd w:val="clear" w:color="auto" w:fill="auto"/>
            <w:noWrap/>
            <w:vAlign w:val="bottom"/>
            <w:hideMark/>
          </w:tcPr>
          <w:p w:rsidR="00591D91" w:rsidRPr="00591D91" w:rsidRDefault="00591D91" w:rsidP="00591D91">
            <w:pPr>
              <w:jc w:val="center"/>
              <w:rPr>
                <w:rFonts w:ascii="Calibri" w:eastAsia="Times New Roman" w:hAnsi="Calibri" w:cs="Times New Roman"/>
                <w:b/>
                <w:bCs/>
                <w:color w:val="000000"/>
                <w:sz w:val="22"/>
                <w:szCs w:val="22"/>
                <w:lang w:eastAsia="en-GB"/>
              </w:rPr>
            </w:pPr>
            <w:r w:rsidRPr="00591D91">
              <w:rPr>
                <w:rFonts w:ascii="Calibri" w:eastAsia="Times New Roman" w:hAnsi="Calibri" w:cs="Times New Roman"/>
                <w:b/>
                <w:bCs/>
                <w:color w:val="000000"/>
                <w:sz w:val="22"/>
                <w:szCs w:val="22"/>
                <w:lang w:eastAsia="en-GB"/>
              </w:rPr>
              <w:t>22%</w:t>
            </w:r>
          </w:p>
        </w:tc>
        <w:tc>
          <w:tcPr>
            <w:tcW w:w="936" w:type="dxa"/>
            <w:tcBorders>
              <w:top w:val="nil"/>
              <w:left w:val="nil"/>
              <w:bottom w:val="nil"/>
              <w:right w:val="nil"/>
            </w:tcBorders>
            <w:shd w:val="clear" w:color="auto" w:fill="auto"/>
            <w:noWrap/>
            <w:vAlign w:val="bottom"/>
            <w:hideMark/>
          </w:tcPr>
          <w:p w:rsidR="00591D91" w:rsidRPr="00591D91" w:rsidRDefault="00591D91" w:rsidP="00591D91">
            <w:pPr>
              <w:jc w:val="center"/>
              <w:rPr>
                <w:rFonts w:ascii="Calibri" w:eastAsia="Times New Roman" w:hAnsi="Calibri" w:cs="Times New Roman"/>
                <w:b/>
                <w:bCs/>
                <w:color w:val="000000"/>
                <w:sz w:val="22"/>
                <w:szCs w:val="22"/>
                <w:lang w:eastAsia="en-GB"/>
              </w:rPr>
            </w:pPr>
            <w:r w:rsidRPr="00591D91">
              <w:rPr>
                <w:rFonts w:ascii="Calibri" w:eastAsia="Times New Roman" w:hAnsi="Calibri" w:cs="Times New Roman"/>
                <w:b/>
                <w:bCs/>
                <w:color w:val="000000"/>
                <w:sz w:val="22"/>
                <w:szCs w:val="22"/>
                <w:lang w:eastAsia="en-GB"/>
              </w:rPr>
              <w:t>54%</w:t>
            </w:r>
          </w:p>
        </w:tc>
        <w:tc>
          <w:tcPr>
            <w:tcW w:w="82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27%</w:t>
            </w:r>
          </w:p>
        </w:tc>
        <w:tc>
          <w:tcPr>
            <w:tcW w:w="836" w:type="dxa"/>
            <w:tcBorders>
              <w:top w:val="nil"/>
              <w:left w:val="nil"/>
              <w:bottom w:val="nil"/>
              <w:right w:val="nil"/>
            </w:tcBorders>
            <w:shd w:val="clear" w:color="auto" w:fill="auto"/>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19%</w:t>
            </w:r>
          </w:p>
        </w:tc>
        <w:tc>
          <w:tcPr>
            <w:tcW w:w="936" w:type="dxa"/>
            <w:tcBorders>
              <w:top w:val="nil"/>
              <w:left w:val="nil"/>
              <w:bottom w:val="nil"/>
              <w:right w:val="nil"/>
            </w:tcBorders>
            <w:shd w:val="clear" w:color="auto" w:fill="auto"/>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54%</w:t>
            </w:r>
          </w:p>
        </w:tc>
        <w:tc>
          <w:tcPr>
            <w:tcW w:w="82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39%</w:t>
            </w:r>
          </w:p>
        </w:tc>
        <w:tc>
          <w:tcPr>
            <w:tcW w:w="836" w:type="dxa"/>
            <w:tcBorders>
              <w:top w:val="nil"/>
              <w:left w:val="nil"/>
              <w:bottom w:val="nil"/>
              <w:right w:val="nil"/>
            </w:tcBorders>
            <w:shd w:val="clear" w:color="auto" w:fill="auto"/>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19%</w:t>
            </w:r>
          </w:p>
        </w:tc>
        <w:tc>
          <w:tcPr>
            <w:tcW w:w="936" w:type="dxa"/>
            <w:tcBorders>
              <w:top w:val="nil"/>
              <w:left w:val="nil"/>
              <w:bottom w:val="nil"/>
              <w:right w:val="nil"/>
            </w:tcBorders>
            <w:shd w:val="clear" w:color="auto" w:fill="auto"/>
            <w:noWrap/>
            <w:vAlign w:val="bottom"/>
            <w:hideMark/>
          </w:tcPr>
          <w:p w:rsidR="00591D91" w:rsidRPr="00591D91" w:rsidRDefault="00591D91" w:rsidP="00591D91">
            <w:pPr>
              <w:jc w:val="center"/>
              <w:rPr>
                <w:rFonts w:eastAsia="Times New Roman"/>
                <w:b/>
                <w:bCs/>
                <w:color w:val="000000"/>
                <w:sz w:val="18"/>
                <w:szCs w:val="18"/>
                <w:lang w:eastAsia="en-GB"/>
              </w:rPr>
            </w:pPr>
            <w:r w:rsidRPr="00591D91">
              <w:rPr>
                <w:rFonts w:eastAsia="Times New Roman"/>
                <w:b/>
                <w:bCs/>
                <w:color w:val="000000"/>
                <w:sz w:val="18"/>
                <w:szCs w:val="18"/>
                <w:lang w:eastAsia="en-GB"/>
              </w:rPr>
              <w:t>42%</w:t>
            </w:r>
          </w:p>
        </w:tc>
        <w:tc>
          <w:tcPr>
            <w:tcW w:w="82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r>
      <w:tr w:rsidR="00591D91" w:rsidRPr="00591D91" w:rsidTr="00701098">
        <w:trPr>
          <w:trHeight w:val="255"/>
        </w:trPr>
        <w:tc>
          <w:tcPr>
            <w:tcW w:w="3696" w:type="dxa"/>
            <w:tcBorders>
              <w:top w:val="nil"/>
              <w:left w:val="nil"/>
              <w:bottom w:val="nil"/>
              <w:right w:val="nil"/>
            </w:tcBorders>
            <w:shd w:val="clear" w:color="auto" w:fill="auto"/>
            <w:vAlign w:val="bottom"/>
            <w:hideMark/>
          </w:tcPr>
          <w:p w:rsidR="00591D91" w:rsidRPr="00591D91" w:rsidRDefault="00591D91" w:rsidP="00591D91">
            <w:pPr>
              <w:rPr>
                <w:rFonts w:eastAsia="Times New Roman"/>
                <w:color w:val="000000"/>
                <w:sz w:val="20"/>
                <w:szCs w:val="20"/>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20"/>
                <w:szCs w:val="20"/>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40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936"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c>
          <w:tcPr>
            <w:tcW w:w="820" w:type="dxa"/>
            <w:tcBorders>
              <w:top w:val="nil"/>
              <w:left w:val="nil"/>
              <w:bottom w:val="nil"/>
              <w:right w:val="nil"/>
            </w:tcBorders>
            <w:shd w:val="clear" w:color="auto" w:fill="auto"/>
            <w:noWrap/>
            <w:vAlign w:val="bottom"/>
            <w:hideMark/>
          </w:tcPr>
          <w:p w:rsidR="00591D91" w:rsidRPr="00591D91" w:rsidRDefault="00591D91" w:rsidP="00591D91">
            <w:pPr>
              <w:rPr>
                <w:rFonts w:eastAsia="Times New Roman"/>
                <w:color w:val="000000"/>
                <w:sz w:val="18"/>
                <w:szCs w:val="18"/>
                <w:lang w:eastAsia="en-GB"/>
              </w:rPr>
            </w:pPr>
          </w:p>
        </w:tc>
      </w:tr>
    </w:tbl>
    <w:p w:rsidR="00F830D6" w:rsidRPr="000540D8" w:rsidRDefault="00952439" w:rsidP="008A22C6">
      <w:pPr>
        <w:rPr>
          <w:szCs w:val="22"/>
        </w:rPr>
      </w:pPr>
      <w:r w:rsidRPr="000540D8">
        <w:rPr>
          <w:b/>
          <w:szCs w:val="22"/>
        </w:rPr>
        <w:t xml:space="preserve">Commentary: </w:t>
      </w:r>
      <w:r w:rsidRPr="000540D8">
        <w:rPr>
          <w:szCs w:val="22"/>
        </w:rPr>
        <w:t xml:space="preserve">The proportion of disciplinary casework resulting in the application of an informal or first written warning has steadily increased since 2015/16. Damage to Council property, failure to observe the values and behaviours framework and breaches of organisational policy or work processes represented the majority of disciplinary casework across all of the reporting period. There were single instances of casework relating to alleged discrimination, bullying or harassment in both 2016/17 and 2017/18, with the latter case resulting in a Final Written Warning. </w:t>
      </w:r>
      <w:r w:rsidR="00966247" w:rsidRPr="000540D8">
        <w:rPr>
          <w:szCs w:val="22"/>
        </w:rPr>
        <w:t xml:space="preserve">(The </w:t>
      </w:r>
      <w:proofErr w:type="gramStart"/>
      <w:r w:rsidR="00966247" w:rsidRPr="000540D8">
        <w:rPr>
          <w:szCs w:val="22"/>
        </w:rPr>
        <w:t>total</w:t>
      </w:r>
      <w:r w:rsidR="004336D2">
        <w:rPr>
          <w:szCs w:val="22"/>
        </w:rPr>
        <w:t>s</w:t>
      </w:r>
      <w:r w:rsidR="00966247" w:rsidRPr="000540D8">
        <w:rPr>
          <w:szCs w:val="22"/>
        </w:rPr>
        <w:t xml:space="preserve"> shown includes</w:t>
      </w:r>
      <w:proofErr w:type="gramEnd"/>
      <w:r w:rsidR="00966247" w:rsidRPr="000540D8">
        <w:rPr>
          <w:szCs w:val="22"/>
        </w:rPr>
        <w:t xml:space="preserve"> cases where there was more than one actionable component).</w:t>
      </w:r>
    </w:p>
    <w:p w:rsidR="00966247" w:rsidRDefault="00966247" w:rsidP="008A22C6">
      <w:pPr>
        <w:rPr>
          <w:szCs w:val="22"/>
        </w:rPr>
      </w:pPr>
    </w:p>
    <w:p w:rsidR="00966247" w:rsidRDefault="00966247" w:rsidP="008A22C6">
      <w:pPr>
        <w:rPr>
          <w:szCs w:val="22"/>
        </w:rPr>
      </w:pPr>
    </w:p>
    <w:p w:rsidR="00644FAA" w:rsidRDefault="00966247" w:rsidP="00644FAA">
      <w:pPr>
        <w:pStyle w:val="Default"/>
        <w:rPr>
          <w:b/>
          <w:bCs/>
          <w:szCs w:val="23"/>
        </w:rPr>
      </w:pPr>
      <w:r>
        <w:rPr>
          <w:szCs w:val="22"/>
        </w:rPr>
        <w:br w:type="page"/>
      </w:r>
      <w:r w:rsidR="00644FAA" w:rsidRPr="00644FAA">
        <w:rPr>
          <w:b/>
          <w:bCs/>
          <w:szCs w:val="23"/>
        </w:rPr>
        <w:lastRenderedPageBreak/>
        <w:t xml:space="preserve">7. </w:t>
      </w:r>
      <w:r w:rsidR="00644FAA">
        <w:rPr>
          <w:b/>
          <w:bCs/>
          <w:szCs w:val="23"/>
        </w:rPr>
        <w:t>SUMMARY</w:t>
      </w:r>
      <w:r w:rsidR="00644FAA" w:rsidRPr="00644FAA">
        <w:rPr>
          <w:b/>
          <w:bCs/>
          <w:szCs w:val="23"/>
        </w:rPr>
        <w:t xml:space="preserve"> </w:t>
      </w:r>
    </w:p>
    <w:p w:rsidR="00644FAA" w:rsidRPr="00644FAA" w:rsidRDefault="00644FAA" w:rsidP="00644FAA">
      <w:pPr>
        <w:pStyle w:val="Default"/>
        <w:rPr>
          <w:szCs w:val="23"/>
        </w:rPr>
      </w:pPr>
    </w:p>
    <w:p w:rsidR="00644FAA" w:rsidRPr="00644FAA" w:rsidRDefault="004336D2" w:rsidP="00644FAA">
      <w:pPr>
        <w:pStyle w:val="Default"/>
        <w:numPr>
          <w:ilvl w:val="0"/>
          <w:numId w:val="3"/>
        </w:numPr>
        <w:spacing w:after="37"/>
        <w:rPr>
          <w:szCs w:val="23"/>
        </w:rPr>
      </w:pPr>
      <w:r>
        <w:rPr>
          <w:szCs w:val="23"/>
        </w:rPr>
        <w:t>I</w:t>
      </w:r>
      <w:r w:rsidRPr="00644FAA">
        <w:rPr>
          <w:szCs w:val="23"/>
        </w:rPr>
        <w:t>n order to be in a better position to recruit a workforce more representative of the City</w:t>
      </w:r>
      <w:r w:rsidR="00D42922">
        <w:rPr>
          <w:szCs w:val="23"/>
        </w:rPr>
        <w:t xml:space="preserve">’s resident </w:t>
      </w:r>
      <w:r w:rsidR="00047689">
        <w:rPr>
          <w:szCs w:val="23"/>
        </w:rPr>
        <w:t xml:space="preserve">economically  active </w:t>
      </w:r>
      <w:r w:rsidR="00D42922">
        <w:rPr>
          <w:szCs w:val="23"/>
        </w:rPr>
        <w:t>population</w:t>
      </w:r>
      <w:r w:rsidRPr="00644FAA">
        <w:rPr>
          <w:szCs w:val="23"/>
        </w:rPr>
        <w:t xml:space="preserve"> </w:t>
      </w:r>
      <w:r>
        <w:rPr>
          <w:szCs w:val="23"/>
        </w:rPr>
        <w:t>we</w:t>
      </w:r>
      <w:r w:rsidRPr="00644FAA">
        <w:rPr>
          <w:szCs w:val="23"/>
        </w:rPr>
        <w:t xml:space="preserve"> </w:t>
      </w:r>
      <w:r w:rsidR="00644FAA" w:rsidRPr="00644FAA">
        <w:rPr>
          <w:szCs w:val="23"/>
        </w:rPr>
        <w:t>have continued to review the essential criteria</w:t>
      </w:r>
      <w:r>
        <w:rPr>
          <w:szCs w:val="23"/>
        </w:rPr>
        <w:t xml:space="preserve"> and the</w:t>
      </w:r>
      <w:r w:rsidR="00644FAA" w:rsidRPr="00644FAA">
        <w:rPr>
          <w:szCs w:val="23"/>
        </w:rPr>
        <w:t xml:space="preserve"> practical entry assessment tests for high turnover </w:t>
      </w:r>
      <w:r w:rsidR="003F0DE1" w:rsidRPr="00644FAA">
        <w:rPr>
          <w:szCs w:val="23"/>
        </w:rPr>
        <w:t>posts;</w:t>
      </w:r>
      <w:r w:rsidR="00644FAA" w:rsidRPr="00644FAA">
        <w:rPr>
          <w:szCs w:val="23"/>
        </w:rPr>
        <w:t xml:space="preserve"> cascaded best practice around recruitment by involving more staff in the meeting and greeting process and informal stakeholder groups</w:t>
      </w:r>
      <w:r w:rsidR="000228F2">
        <w:rPr>
          <w:szCs w:val="23"/>
        </w:rPr>
        <w:t>;</w:t>
      </w:r>
      <w:r w:rsidR="000228F2" w:rsidRPr="00644FAA">
        <w:rPr>
          <w:szCs w:val="23"/>
        </w:rPr>
        <w:t xml:space="preserve"> </w:t>
      </w:r>
      <w:r w:rsidR="00352437">
        <w:rPr>
          <w:szCs w:val="23"/>
        </w:rPr>
        <w:t xml:space="preserve">as well </w:t>
      </w:r>
      <w:r w:rsidR="00FA5343">
        <w:rPr>
          <w:szCs w:val="23"/>
        </w:rPr>
        <w:t xml:space="preserve">as </w:t>
      </w:r>
      <w:r w:rsidR="00352437">
        <w:rPr>
          <w:szCs w:val="23"/>
        </w:rPr>
        <w:t>promoted and advertised job</w:t>
      </w:r>
      <w:r w:rsidR="002E1471">
        <w:rPr>
          <w:szCs w:val="23"/>
        </w:rPr>
        <w:t xml:space="preserve"> opportunities</w:t>
      </w:r>
      <w:r w:rsidR="00352437">
        <w:rPr>
          <w:szCs w:val="23"/>
        </w:rPr>
        <w:t xml:space="preserve"> in local community publications and community centres</w:t>
      </w:r>
      <w:r w:rsidR="00644FAA" w:rsidRPr="00644FAA">
        <w:rPr>
          <w:szCs w:val="23"/>
        </w:rPr>
        <w:t xml:space="preserve"> and recruitment</w:t>
      </w:r>
      <w:r w:rsidR="00654C14">
        <w:rPr>
          <w:szCs w:val="23"/>
        </w:rPr>
        <w:t>.</w:t>
      </w:r>
      <w:r w:rsidR="00644FAA" w:rsidRPr="00644FAA">
        <w:rPr>
          <w:szCs w:val="23"/>
        </w:rPr>
        <w:t xml:space="preserve"> </w:t>
      </w:r>
    </w:p>
    <w:p w:rsidR="00352437" w:rsidRDefault="00956FDC" w:rsidP="00644FAA">
      <w:pPr>
        <w:pStyle w:val="Default"/>
        <w:numPr>
          <w:ilvl w:val="0"/>
          <w:numId w:val="3"/>
        </w:numPr>
        <w:rPr>
          <w:szCs w:val="23"/>
        </w:rPr>
      </w:pPr>
      <w:r>
        <w:rPr>
          <w:szCs w:val="23"/>
        </w:rPr>
        <w:t xml:space="preserve">The Council maintains its commitment to staff development and continues to maintain a Corporate Training budget of £124,000 in addition to Service Area funding of £302,000.  Since 2016 the Council has provided additional funding for a comprehensive Health and Wellbeing programme, (£150,000 over two years) and £174,000 for a Leadership and Management development programme for all managers. We have an internal training resource designing and delivering a varied and high quality corporate training programme including an accredited ILM manager’s course. </w:t>
      </w:r>
    </w:p>
    <w:p w:rsidR="00B00819" w:rsidRDefault="00491742" w:rsidP="00644FAA">
      <w:pPr>
        <w:pStyle w:val="Default"/>
        <w:numPr>
          <w:ilvl w:val="0"/>
          <w:numId w:val="3"/>
        </w:numPr>
        <w:rPr>
          <w:szCs w:val="23"/>
        </w:rPr>
      </w:pPr>
      <w:r>
        <w:rPr>
          <w:szCs w:val="23"/>
        </w:rPr>
        <w:t>In the future,</w:t>
      </w:r>
      <w:r w:rsidR="00956FDC">
        <w:rPr>
          <w:szCs w:val="23"/>
        </w:rPr>
        <w:t xml:space="preserve"> a new Organisational Development strategy has been agreed and will be implemented over the next three years</w:t>
      </w:r>
      <w:r w:rsidR="00352437">
        <w:rPr>
          <w:szCs w:val="23"/>
        </w:rPr>
        <w:t xml:space="preserve">, which </w:t>
      </w:r>
      <w:r w:rsidR="00956FDC">
        <w:rPr>
          <w:szCs w:val="23"/>
        </w:rPr>
        <w:t xml:space="preserve">was developed in conjunction with feedback from the 2016 staff survey and </w:t>
      </w:r>
      <w:proofErr w:type="spellStart"/>
      <w:r w:rsidR="00956FDC">
        <w:rPr>
          <w:szCs w:val="23"/>
        </w:rPr>
        <w:t>IiP</w:t>
      </w:r>
      <w:proofErr w:type="spellEnd"/>
      <w:r w:rsidR="00956FDC">
        <w:rPr>
          <w:szCs w:val="23"/>
        </w:rPr>
        <w:t xml:space="preserve"> accreditation</w:t>
      </w:r>
      <w:r w:rsidR="00654C14">
        <w:rPr>
          <w:szCs w:val="23"/>
        </w:rPr>
        <w:t>.</w:t>
      </w:r>
    </w:p>
    <w:p w:rsidR="000228F2" w:rsidRDefault="00644FAA" w:rsidP="00644FAA">
      <w:pPr>
        <w:pStyle w:val="Default"/>
        <w:numPr>
          <w:ilvl w:val="0"/>
          <w:numId w:val="3"/>
        </w:numPr>
        <w:rPr>
          <w:szCs w:val="23"/>
        </w:rPr>
      </w:pPr>
      <w:r w:rsidRPr="00644FAA">
        <w:rPr>
          <w:szCs w:val="23"/>
        </w:rPr>
        <w:t xml:space="preserve">We have continued to explore new opportunities to promote the careers available at the Council, </w:t>
      </w:r>
      <w:r w:rsidR="00004490">
        <w:rPr>
          <w:szCs w:val="23"/>
        </w:rPr>
        <w:t xml:space="preserve">and have </w:t>
      </w:r>
      <w:r w:rsidRPr="00644FAA">
        <w:rPr>
          <w:szCs w:val="23"/>
        </w:rPr>
        <w:t>review</w:t>
      </w:r>
      <w:r w:rsidR="00004490">
        <w:rPr>
          <w:szCs w:val="23"/>
        </w:rPr>
        <w:t>ed</w:t>
      </w:r>
      <w:r w:rsidRPr="00644FAA">
        <w:rPr>
          <w:szCs w:val="23"/>
        </w:rPr>
        <w:t xml:space="preserve"> the apprenticeship opportunities on offer</w:t>
      </w:r>
      <w:r w:rsidR="00004490">
        <w:rPr>
          <w:szCs w:val="23"/>
        </w:rPr>
        <w:t xml:space="preserve"> in 2018 to incorporate more specialist apprenticeships</w:t>
      </w:r>
      <w:r w:rsidRPr="00644FAA">
        <w:rPr>
          <w:szCs w:val="23"/>
        </w:rPr>
        <w:t>, a</w:t>
      </w:r>
      <w:r w:rsidR="00004490">
        <w:rPr>
          <w:szCs w:val="23"/>
        </w:rPr>
        <w:t>s well as</w:t>
      </w:r>
      <w:r w:rsidRPr="00644FAA">
        <w:rPr>
          <w:szCs w:val="23"/>
        </w:rPr>
        <w:t xml:space="preserve"> support career development for staff through coaching/ mentoring/ secondments and other interventions, including the extension of a significant corporate training and personal development programme available to all staff</w:t>
      </w:r>
      <w:r w:rsidR="00654C14">
        <w:rPr>
          <w:szCs w:val="23"/>
        </w:rPr>
        <w:t>.</w:t>
      </w:r>
    </w:p>
    <w:p w:rsidR="00644FAA" w:rsidRDefault="003F0DE1" w:rsidP="00644FAA">
      <w:pPr>
        <w:pStyle w:val="Default"/>
        <w:numPr>
          <w:ilvl w:val="0"/>
          <w:numId w:val="3"/>
        </w:numPr>
        <w:rPr>
          <w:szCs w:val="23"/>
        </w:rPr>
      </w:pPr>
      <w:r>
        <w:rPr>
          <w:szCs w:val="23"/>
        </w:rPr>
        <w:t>The Council has d</w:t>
      </w:r>
      <w:r w:rsidR="000228F2">
        <w:rPr>
          <w:szCs w:val="23"/>
        </w:rPr>
        <w:t>eveloped and implemented career matrix schemes in a number of service areas to both attract and retain talent within the Council</w:t>
      </w:r>
      <w:r w:rsidR="00654C14">
        <w:rPr>
          <w:szCs w:val="23"/>
        </w:rPr>
        <w:t>.</w:t>
      </w:r>
    </w:p>
    <w:p w:rsidR="00352437" w:rsidRPr="004403F4" w:rsidRDefault="00352437" w:rsidP="002E1471">
      <w:pPr>
        <w:pStyle w:val="ListParagraph"/>
        <w:numPr>
          <w:ilvl w:val="0"/>
          <w:numId w:val="3"/>
        </w:numPr>
      </w:pPr>
      <w:r w:rsidRPr="00352437">
        <w:rPr>
          <w:szCs w:val="23"/>
        </w:rPr>
        <w:t xml:space="preserve">The Council has held Corporate </w:t>
      </w:r>
      <w:r w:rsidRPr="00352437">
        <w:rPr>
          <w:i/>
          <w:szCs w:val="23"/>
        </w:rPr>
        <w:t>Customer Service Excellence</w:t>
      </w:r>
      <w:r w:rsidRPr="00352437">
        <w:rPr>
          <w:szCs w:val="23"/>
        </w:rPr>
        <w:t xml:space="preserve"> (CSE) accreditation since 2016 and received a further ‘compliance </w:t>
      </w:r>
      <w:proofErr w:type="spellStart"/>
      <w:r w:rsidRPr="00352437">
        <w:rPr>
          <w:szCs w:val="23"/>
        </w:rPr>
        <w:t>plus’</w:t>
      </w:r>
      <w:proofErr w:type="spellEnd"/>
      <w:r w:rsidRPr="00352437">
        <w:rPr>
          <w:szCs w:val="23"/>
        </w:rPr>
        <w:t xml:space="preserve"> awards for: </w:t>
      </w:r>
      <w:r w:rsidRPr="002E1471">
        <w:t>the Youth Ambition team’s efforts to find and work with vulnerable young people and providing English classes for speakers of other languages alongside their other activities; empowering contact centre staff to use their experience and skills to help customers rather than sticking to a script, and developing staff to respond to customers effectively through social media; and identifying reasons why customers make repeat calls and improving our service to reduce unnecessary calls.</w:t>
      </w:r>
      <w:r>
        <w:t xml:space="preserve"> </w:t>
      </w:r>
      <w:r w:rsidRPr="004403F4">
        <w:t xml:space="preserve">The CSE assessor also gave </w:t>
      </w:r>
      <w:r w:rsidR="00491742">
        <w:t>positive</w:t>
      </w:r>
      <w:r w:rsidR="00437951" w:rsidRPr="004403F4">
        <w:t xml:space="preserve"> </w:t>
      </w:r>
      <w:r w:rsidRPr="004403F4">
        <w:t>feedback across the board, singling out service improvements, better customer engagement, and the way we are supporting and developing our staff to take responsibility for customers and how we serve them.</w:t>
      </w:r>
    </w:p>
    <w:p w:rsidR="002E1471" w:rsidRDefault="002E1471">
      <w:pPr>
        <w:rPr>
          <w:color w:val="000000"/>
          <w:szCs w:val="23"/>
        </w:rPr>
      </w:pPr>
      <w:r>
        <w:rPr>
          <w:szCs w:val="23"/>
        </w:rPr>
        <w:br w:type="page"/>
      </w:r>
    </w:p>
    <w:p w:rsidR="00644FAA" w:rsidRPr="00644FAA" w:rsidRDefault="00644FAA" w:rsidP="00644FAA">
      <w:pPr>
        <w:pStyle w:val="Default"/>
        <w:rPr>
          <w:szCs w:val="23"/>
        </w:rPr>
      </w:pPr>
    </w:p>
    <w:p w:rsidR="00966247" w:rsidRPr="004F77E3" w:rsidRDefault="00644FAA" w:rsidP="002E1471">
      <w:pPr>
        <w:pStyle w:val="ListParagraph"/>
        <w:numPr>
          <w:ilvl w:val="0"/>
          <w:numId w:val="3"/>
        </w:numPr>
        <w:rPr>
          <w:szCs w:val="23"/>
        </w:rPr>
      </w:pPr>
      <w:r w:rsidRPr="004F77E3">
        <w:rPr>
          <w:szCs w:val="23"/>
        </w:rPr>
        <w:t xml:space="preserve">The Council is proud to have </w:t>
      </w:r>
      <w:r w:rsidR="00956FDC" w:rsidRPr="004F77E3">
        <w:rPr>
          <w:szCs w:val="23"/>
        </w:rPr>
        <w:t>maintained its Gold Level</w:t>
      </w:r>
      <w:r w:rsidRPr="009D339C">
        <w:rPr>
          <w:szCs w:val="23"/>
        </w:rPr>
        <w:t xml:space="preserve"> Investors in People </w:t>
      </w:r>
      <w:r w:rsidRPr="00793282">
        <w:rPr>
          <w:szCs w:val="23"/>
        </w:rPr>
        <w:t xml:space="preserve">Gold </w:t>
      </w:r>
      <w:r w:rsidR="00956FDC" w:rsidRPr="00793282">
        <w:rPr>
          <w:szCs w:val="23"/>
        </w:rPr>
        <w:t>accreditation in 2017 highlighting its commitment to</w:t>
      </w:r>
      <w:r w:rsidRPr="00793282">
        <w:rPr>
          <w:szCs w:val="23"/>
        </w:rPr>
        <w:t xml:space="preserve"> people management, and will continue to embed these best practices in order to recruit and retain a talented workforce that better reflects the local community</w:t>
      </w:r>
      <w:r w:rsidRPr="004F77E3">
        <w:rPr>
          <w:szCs w:val="23"/>
        </w:rPr>
        <w:t xml:space="preserve">. </w:t>
      </w:r>
    </w:p>
    <w:p w:rsidR="003F0DE1" w:rsidRPr="003F0DE1" w:rsidRDefault="000E1D50" w:rsidP="002E1471">
      <w:pPr>
        <w:pStyle w:val="ListParagraph"/>
        <w:numPr>
          <w:ilvl w:val="0"/>
          <w:numId w:val="3"/>
        </w:numPr>
        <w:rPr>
          <w:szCs w:val="23"/>
        </w:rPr>
      </w:pPr>
      <w:r>
        <w:t>The Council has an aspiration to be an ‘employer of choice’ with a workforce that better reflects the demographics of the diverse communities it serves. By continually reviewing and refining policies, procedures and approaches we also aim to develop a significantly better understanding as to why applications from specific groups might fail or, indeed, why they may not apply for job opportunities within the Council.</w:t>
      </w:r>
      <w:r w:rsidR="003F0DE1">
        <w:t xml:space="preserve"> </w:t>
      </w:r>
    </w:p>
    <w:p w:rsidR="000E1D50" w:rsidRPr="004F77E3" w:rsidRDefault="003F0DE1" w:rsidP="002E1471">
      <w:pPr>
        <w:pStyle w:val="ListParagraph"/>
        <w:numPr>
          <w:ilvl w:val="0"/>
          <w:numId w:val="3"/>
        </w:numPr>
        <w:rPr>
          <w:szCs w:val="23"/>
        </w:rPr>
      </w:pPr>
      <w:r>
        <w:t>Finally the Council will look to address the significant proportion of staff and potential employees who choose not provide details of their ethnicity, religious belief, etc. at key stages of the recruitment process and employee on</w:t>
      </w:r>
      <w:r w:rsidR="007B5B33">
        <w:t>-</w:t>
      </w:r>
      <w:r>
        <w:t>boarding process.</w:t>
      </w:r>
    </w:p>
    <w:p w:rsidR="00644FAA" w:rsidRDefault="00644FAA" w:rsidP="00644FAA">
      <w:pPr>
        <w:rPr>
          <w:szCs w:val="23"/>
        </w:rPr>
      </w:pPr>
    </w:p>
    <w:p w:rsidR="00644FAA" w:rsidRDefault="00644FAA" w:rsidP="00644FAA">
      <w:pPr>
        <w:rPr>
          <w:szCs w:val="23"/>
        </w:rPr>
      </w:pPr>
    </w:p>
    <w:p w:rsidR="00644FAA" w:rsidRPr="002E1471" w:rsidRDefault="00491742" w:rsidP="00644FAA">
      <w:pPr>
        <w:rPr>
          <w:b/>
          <w:szCs w:val="22"/>
        </w:rPr>
      </w:pPr>
      <w:r>
        <w:rPr>
          <w:b/>
          <w:szCs w:val="22"/>
        </w:rPr>
        <w:t>November 2018</w:t>
      </w:r>
    </w:p>
    <w:sectPr w:rsidR="00644FAA" w:rsidRPr="002E1471" w:rsidSect="00767E58">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A1" w:rsidRDefault="000036A1" w:rsidP="004031BD">
      <w:r>
        <w:separator/>
      </w:r>
    </w:p>
  </w:endnote>
  <w:endnote w:type="continuationSeparator" w:id="0">
    <w:p w:rsidR="000036A1" w:rsidRDefault="000036A1" w:rsidP="0040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925064"/>
      <w:docPartObj>
        <w:docPartGallery w:val="Page Numbers (Bottom of Page)"/>
        <w:docPartUnique/>
      </w:docPartObj>
    </w:sdtPr>
    <w:sdtEndPr>
      <w:rPr>
        <w:noProof/>
      </w:rPr>
    </w:sdtEndPr>
    <w:sdtContent>
      <w:p w:rsidR="000036A1" w:rsidRDefault="000036A1">
        <w:pPr>
          <w:pStyle w:val="Footer"/>
          <w:jc w:val="right"/>
        </w:pPr>
        <w:r>
          <w:fldChar w:fldCharType="begin"/>
        </w:r>
        <w:r>
          <w:instrText xml:space="preserve"> PAGE   \* MERGEFORMAT </w:instrText>
        </w:r>
        <w:r>
          <w:fldChar w:fldCharType="separate"/>
        </w:r>
        <w:r w:rsidR="008E33F8">
          <w:rPr>
            <w:noProof/>
          </w:rPr>
          <w:t>19</w:t>
        </w:r>
        <w:r>
          <w:rPr>
            <w:noProof/>
          </w:rPr>
          <w:fldChar w:fldCharType="end"/>
        </w:r>
      </w:p>
    </w:sdtContent>
  </w:sdt>
  <w:p w:rsidR="000036A1" w:rsidRDefault="00003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A1" w:rsidRDefault="000036A1" w:rsidP="004031BD">
      <w:r>
        <w:separator/>
      </w:r>
    </w:p>
  </w:footnote>
  <w:footnote w:type="continuationSeparator" w:id="0">
    <w:p w:rsidR="000036A1" w:rsidRDefault="000036A1" w:rsidP="00403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871"/>
    <w:multiLevelType w:val="hybridMultilevel"/>
    <w:tmpl w:val="420C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E23A7"/>
    <w:multiLevelType w:val="hybridMultilevel"/>
    <w:tmpl w:val="F9A00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B576D1"/>
    <w:multiLevelType w:val="hybridMultilevel"/>
    <w:tmpl w:val="D36A4788"/>
    <w:lvl w:ilvl="0" w:tplc="E306DB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D5E20"/>
    <w:multiLevelType w:val="hybridMultilevel"/>
    <w:tmpl w:val="DBD2A766"/>
    <w:lvl w:ilvl="0" w:tplc="D9DC88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74A01EC"/>
    <w:multiLevelType w:val="hybridMultilevel"/>
    <w:tmpl w:val="BC62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570FD7"/>
    <w:multiLevelType w:val="hybridMultilevel"/>
    <w:tmpl w:val="C39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484D2E"/>
    <w:multiLevelType w:val="hybridMultilevel"/>
    <w:tmpl w:val="8EFCD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5B"/>
    <w:rsid w:val="000036A1"/>
    <w:rsid w:val="00004490"/>
    <w:rsid w:val="00013E12"/>
    <w:rsid w:val="000168BE"/>
    <w:rsid w:val="000228F2"/>
    <w:rsid w:val="00046199"/>
    <w:rsid w:val="00047689"/>
    <w:rsid w:val="00047C66"/>
    <w:rsid w:val="0005033A"/>
    <w:rsid w:val="000540D8"/>
    <w:rsid w:val="0006296D"/>
    <w:rsid w:val="000659F6"/>
    <w:rsid w:val="00094925"/>
    <w:rsid w:val="000950FA"/>
    <w:rsid w:val="000B4310"/>
    <w:rsid w:val="000E0839"/>
    <w:rsid w:val="000E0BA7"/>
    <w:rsid w:val="000E1D50"/>
    <w:rsid w:val="00131BA7"/>
    <w:rsid w:val="001511CD"/>
    <w:rsid w:val="00177FD8"/>
    <w:rsid w:val="00191046"/>
    <w:rsid w:val="001A4214"/>
    <w:rsid w:val="001A4346"/>
    <w:rsid w:val="001B1452"/>
    <w:rsid w:val="001B3EDA"/>
    <w:rsid w:val="001D6FBC"/>
    <w:rsid w:val="001F0F4E"/>
    <w:rsid w:val="00201954"/>
    <w:rsid w:val="00237A80"/>
    <w:rsid w:val="00246559"/>
    <w:rsid w:val="0026451D"/>
    <w:rsid w:val="0028396B"/>
    <w:rsid w:val="00292EF0"/>
    <w:rsid w:val="002A3204"/>
    <w:rsid w:val="002A53D6"/>
    <w:rsid w:val="002B559E"/>
    <w:rsid w:val="002D0A19"/>
    <w:rsid w:val="002D3FDF"/>
    <w:rsid w:val="002E1471"/>
    <w:rsid w:val="00312667"/>
    <w:rsid w:val="00321314"/>
    <w:rsid w:val="00326723"/>
    <w:rsid w:val="00330736"/>
    <w:rsid w:val="00352437"/>
    <w:rsid w:val="00361A62"/>
    <w:rsid w:val="0038335D"/>
    <w:rsid w:val="003860B3"/>
    <w:rsid w:val="003878E1"/>
    <w:rsid w:val="00390846"/>
    <w:rsid w:val="003B03DB"/>
    <w:rsid w:val="003B3CFD"/>
    <w:rsid w:val="003D16FC"/>
    <w:rsid w:val="003D743E"/>
    <w:rsid w:val="003E08A6"/>
    <w:rsid w:val="003E1783"/>
    <w:rsid w:val="003F0649"/>
    <w:rsid w:val="003F0DE1"/>
    <w:rsid w:val="004000D7"/>
    <w:rsid w:val="004031BD"/>
    <w:rsid w:val="004266E9"/>
    <w:rsid w:val="004336D2"/>
    <w:rsid w:val="00437951"/>
    <w:rsid w:val="0045604C"/>
    <w:rsid w:val="00457327"/>
    <w:rsid w:val="00470FCE"/>
    <w:rsid w:val="00491742"/>
    <w:rsid w:val="004931D9"/>
    <w:rsid w:val="004C2676"/>
    <w:rsid w:val="004C4D19"/>
    <w:rsid w:val="004D67AD"/>
    <w:rsid w:val="004D705B"/>
    <w:rsid w:val="004E1FFC"/>
    <w:rsid w:val="004E220D"/>
    <w:rsid w:val="004F77E3"/>
    <w:rsid w:val="004F7AE3"/>
    <w:rsid w:val="00504E43"/>
    <w:rsid w:val="0051303C"/>
    <w:rsid w:val="00532BB3"/>
    <w:rsid w:val="0054256B"/>
    <w:rsid w:val="00542F3D"/>
    <w:rsid w:val="00547F62"/>
    <w:rsid w:val="00551EEC"/>
    <w:rsid w:val="00562537"/>
    <w:rsid w:val="005732E5"/>
    <w:rsid w:val="00573994"/>
    <w:rsid w:val="00586F8D"/>
    <w:rsid w:val="00591D91"/>
    <w:rsid w:val="005B5547"/>
    <w:rsid w:val="005D7A88"/>
    <w:rsid w:val="005E3745"/>
    <w:rsid w:val="005E3DC3"/>
    <w:rsid w:val="006066D6"/>
    <w:rsid w:val="00610B1A"/>
    <w:rsid w:val="0063738C"/>
    <w:rsid w:val="00641135"/>
    <w:rsid w:val="006418D2"/>
    <w:rsid w:val="00644FAA"/>
    <w:rsid w:val="00654C14"/>
    <w:rsid w:val="00656F74"/>
    <w:rsid w:val="00670E41"/>
    <w:rsid w:val="00677071"/>
    <w:rsid w:val="00694AC2"/>
    <w:rsid w:val="006A51CC"/>
    <w:rsid w:val="006B3B82"/>
    <w:rsid w:val="006D3B33"/>
    <w:rsid w:val="006D42B2"/>
    <w:rsid w:val="006D6D14"/>
    <w:rsid w:val="006E6CB8"/>
    <w:rsid w:val="00701098"/>
    <w:rsid w:val="00711CDA"/>
    <w:rsid w:val="007164B4"/>
    <w:rsid w:val="007230F0"/>
    <w:rsid w:val="00736B25"/>
    <w:rsid w:val="00765A36"/>
    <w:rsid w:val="00765EA0"/>
    <w:rsid w:val="00767E58"/>
    <w:rsid w:val="007908F4"/>
    <w:rsid w:val="00793282"/>
    <w:rsid w:val="007A16CA"/>
    <w:rsid w:val="007B5B33"/>
    <w:rsid w:val="00804B37"/>
    <w:rsid w:val="00817EDC"/>
    <w:rsid w:val="00817F51"/>
    <w:rsid w:val="008236F6"/>
    <w:rsid w:val="00824A13"/>
    <w:rsid w:val="00846F8D"/>
    <w:rsid w:val="00851762"/>
    <w:rsid w:val="00875210"/>
    <w:rsid w:val="00883918"/>
    <w:rsid w:val="008866A0"/>
    <w:rsid w:val="008A22C6"/>
    <w:rsid w:val="008B020A"/>
    <w:rsid w:val="008E33F8"/>
    <w:rsid w:val="008F427A"/>
    <w:rsid w:val="00952439"/>
    <w:rsid w:val="00956FDC"/>
    <w:rsid w:val="009618F2"/>
    <w:rsid w:val="00966247"/>
    <w:rsid w:val="00966EC2"/>
    <w:rsid w:val="00970940"/>
    <w:rsid w:val="009825C7"/>
    <w:rsid w:val="00983B9A"/>
    <w:rsid w:val="009B5E8B"/>
    <w:rsid w:val="009B7C63"/>
    <w:rsid w:val="009C0BC7"/>
    <w:rsid w:val="009C733F"/>
    <w:rsid w:val="009D339C"/>
    <w:rsid w:val="009E43C3"/>
    <w:rsid w:val="009E6EF5"/>
    <w:rsid w:val="00A11EBE"/>
    <w:rsid w:val="00A21AA8"/>
    <w:rsid w:val="00A24DAD"/>
    <w:rsid w:val="00A364AF"/>
    <w:rsid w:val="00A41C58"/>
    <w:rsid w:val="00A519A0"/>
    <w:rsid w:val="00A64958"/>
    <w:rsid w:val="00A67A23"/>
    <w:rsid w:val="00A71A1D"/>
    <w:rsid w:val="00A758ED"/>
    <w:rsid w:val="00A81506"/>
    <w:rsid w:val="00A90B02"/>
    <w:rsid w:val="00AB3606"/>
    <w:rsid w:val="00AC543B"/>
    <w:rsid w:val="00AF1F98"/>
    <w:rsid w:val="00AF4BE8"/>
    <w:rsid w:val="00AF5C48"/>
    <w:rsid w:val="00B00819"/>
    <w:rsid w:val="00B06ABF"/>
    <w:rsid w:val="00B141B8"/>
    <w:rsid w:val="00B33703"/>
    <w:rsid w:val="00B3602D"/>
    <w:rsid w:val="00B37391"/>
    <w:rsid w:val="00B45C1E"/>
    <w:rsid w:val="00B660BD"/>
    <w:rsid w:val="00BB009B"/>
    <w:rsid w:val="00BB10D7"/>
    <w:rsid w:val="00C07F80"/>
    <w:rsid w:val="00C10383"/>
    <w:rsid w:val="00C1378D"/>
    <w:rsid w:val="00C1549D"/>
    <w:rsid w:val="00C245C6"/>
    <w:rsid w:val="00C24F25"/>
    <w:rsid w:val="00C31F3F"/>
    <w:rsid w:val="00C61EAF"/>
    <w:rsid w:val="00C664D2"/>
    <w:rsid w:val="00C80513"/>
    <w:rsid w:val="00C90BB2"/>
    <w:rsid w:val="00C9119C"/>
    <w:rsid w:val="00C97C27"/>
    <w:rsid w:val="00CA74BC"/>
    <w:rsid w:val="00CB53AB"/>
    <w:rsid w:val="00CC652C"/>
    <w:rsid w:val="00CD0329"/>
    <w:rsid w:val="00D20830"/>
    <w:rsid w:val="00D246B5"/>
    <w:rsid w:val="00D26EE6"/>
    <w:rsid w:val="00D27E5B"/>
    <w:rsid w:val="00D42922"/>
    <w:rsid w:val="00D50D02"/>
    <w:rsid w:val="00D52B90"/>
    <w:rsid w:val="00D82B8E"/>
    <w:rsid w:val="00D9754F"/>
    <w:rsid w:val="00DA02BE"/>
    <w:rsid w:val="00DA2CB8"/>
    <w:rsid w:val="00DA34EB"/>
    <w:rsid w:val="00DB1415"/>
    <w:rsid w:val="00DC19A1"/>
    <w:rsid w:val="00DD71DB"/>
    <w:rsid w:val="00DE61B5"/>
    <w:rsid w:val="00DF2299"/>
    <w:rsid w:val="00DF3A41"/>
    <w:rsid w:val="00E11E1A"/>
    <w:rsid w:val="00E12084"/>
    <w:rsid w:val="00E15EE4"/>
    <w:rsid w:val="00E2440A"/>
    <w:rsid w:val="00E43B60"/>
    <w:rsid w:val="00E50E24"/>
    <w:rsid w:val="00E956BB"/>
    <w:rsid w:val="00EA0E47"/>
    <w:rsid w:val="00EB1FAA"/>
    <w:rsid w:val="00ED375B"/>
    <w:rsid w:val="00ED6AAB"/>
    <w:rsid w:val="00EF6EBB"/>
    <w:rsid w:val="00F070F8"/>
    <w:rsid w:val="00F31F7B"/>
    <w:rsid w:val="00F550EA"/>
    <w:rsid w:val="00F57993"/>
    <w:rsid w:val="00F6272A"/>
    <w:rsid w:val="00F65A76"/>
    <w:rsid w:val="00F830D6"/>
    <w:rsid w:val="00F91D6B"/>
    <w:rsid w:val="00FA5343"/>
    <w:rsid w:val="00FC2B93"/>
    <w:rsid w:val="00FD3A85"/>
    <w:rsid w:val="00FF6488"/>
    <w:rsid w:val="00FF7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72A"/>
    <w:rPr>
      <w:rFonts w:ascii="Tahoma" w:hAnsi="Tahoma" w:cs="Tahoma"/>
      <w:sz w:val="16"/>
      <w:szCs w:val="16"/>
    </w:rPr>
  </w:style>
  <w:style w:type="character" w:customStyle="1" w:styleId="BalloonTextChar">
    <w:name w:val="Balloon Text Char"/>
    <w:basedOn w:val="DefaultParagraphFont"/>
    <w:link w:val="BalloonText"/>
    <w:uiPriority w:val="99"/>
    <w:semiHidden/>
    <w:rsid w:val="00F6272A"/>
    <w:rPr>
      <w:rFonts w:ascii="Tahoma" w:hAnsi="Tahoma" w:cs="Tahoma"/>
      <w:sz w:val="16"/>
      <w:szCs w:val="16"/>
    </w:rPr>
  </w:style>
  <w:style w:type="paragraph" w:customStyle="1" w:styleId="Default">
    <w:name w:val="Default"/>
    <w:rsid w:val="00767E58"/>
    <w:pPr>
      <w:autoSpaceDE w:val="0"/>
      <w:autoSpaceDN w:val="0"/>
      <w:adjustRightInd w:val="0"/>
    </w:pPr>
    <w:rPr>
      <w:color w:val="000000"/>
    </w:rPr>
  </w:style>
  <w:style w:type="character" w:styleId="CommentReference">
    <w:name w:val="annotation reference"/>
    <w:basedOn w:val="DefaultParagraphFont"/>
    <w:uiPriority w:val="99"/>
    <w:semiHidden/>
    <w:unhideWhenUsed/>
    <w:rsid w:val="00A41C58"/>
    <w:rPr>
      <w:sz w:val="16"/>
      <w:szCs w:val="16"/>
    </w:rPr>
  </w:style>
  <w:style w:type="paragraph" w:styleId="CommentText">
    <w:name w:val="annotation text"/>
    <w:basedOn w:val="Normal"/>
    <w:link w:val="CommentTextChar"/>
    <w:uiPriority w:val="99"/>
    <w:semiHidden/>
    <w:unhideWhenUsed/>
    <w:rsid w:val="00A41C58"/>
    <w:rPr>
      <w:sz w:val="20"/>
      <w:szCs w:val="20"/>
    </w:rPr>
  </w:style>
  <w:style w:type="character" w:customStyle="1" w:styleId="CommentTextChar">
    <w:name w:val="Comment Text Char"/>
    <w:basedOn w:val="DefaultParagraphFont"/>
    <w:link w:val="CommentText"/>
    <w:uiPriority w:val="99"/>
    <w:semiHidden/>
    <w:rsid w:val="00A41C58"/>
    <w:rPr>
      <w:sz w:val="20"/>
      <w:szCs w:val="20"/>
    </w:rPr>
  </w:style>
  <w:style w:type="paragraph" w:styleId="CommentSubject">
    <w:name w:val="annotation subject"/>
    <w:basedOn w:val="CommentText"/>
    <w:next w:val="CommentText"/>
    <w:link w:val="CommentSubjectChar"/>
    <w:uiPriority w:val="99"/>
    <w:semiHidden/>
    <w:unhideWhenUsed/>
    <w:rsid w:val="00A41C58"/>
    <w:rPr>
      <w:b/>
      <w:bCs/>
    </w:rPr>
  </w:style>
  <w:style w:type="character" w:customStyle="1" w:styleId="CommentSubjectChar">
    <w:name w:val="Comment Subject Char"/>
    <w:basedOn w:val="CommentTextChar"/>
    <w:link w:val="CommentSubject"/>
    <w:uiPriority w:val="99"/>
    <w:semiHidden/>
    <w:rsid w:val="00A41C58"/>
    <w:rPr>
      <w:b/>
      <w:bCs/>
      <w:sz w:val="20"/>
      <w:szCs w:val="20"/>
    </w:rPr>
  </w:style>
  <w:style w:type="paragraph" w:styleId="ListParagraph">
    <w:name w:val="List Paragraph"/>
    <w:basedOn w:val="Normal"/>
    <w:uiPriority w:val="34"/>
    <w:qFormat/>
    <w:rsid w:val="008236F6"/>
    <w:pPr>
      <w:ind w:left="720"/>
    </w:pPr>
  </w:style>
  <w:style w:type="paragraph" w:styleId="Revision">
    <w:name w:val="Revision"/>
    <w:hidden/>
    <w:uiPriority w:val="99"/>
    <w:semiHidden/>
    <w:rsid w:val="00B141B8"/>
  </w:style>
  <w:style w:type="paragraph" w:styleId="Header">
    <w:name w:val="header"/>
    <w:basedOn w:val="Normal"/>
    <w:link w:val="HeaderChar"/>
    <w:uiPriority w:val="99"/>
    <w:unhideWhenUsed/>
    <w:rsid w:val="004031BD"/>
    <w:pPr>
      <w:tabs>
        <w:tab w:val="center" w:pos="4513"/>
        <w:tab w:val="right" w:pos="9026"/>
      </w:tabs>
    </w:pPr>
  </w:style>
  <w:style w:type="character" w:customStyle="1" w:styleId="HeaderChar">
    <w:name w:val="Header Char"/>
    <w:basedOn w:val="DefaultParagraphFont"/>
    <w:link w:val="Header"/>
    <w:uiPriority w:val="99"/>
    <w:rsid w:val="004031BD"/>
  </w:style>
  <w:style w:type="paragraph" w:styleId="Footer">
    <w:name w:val="footer"/>
    <w:basedOn w:val="Normal"/>
    <w:link w:val="FooterChar"/>
    <w:uiPriority w:val="99"/>
    <w:unhideWhenUsed/>
    <w:rsid w:val="004031BD"/>
    <w:pPr>
      <w:tabs>
        <w:tab w:val="center" w:pos="4513"/>
        <w:tab w:val="right" w:pos="9026"/>
      </w:tabs>
    </w:pPr>
  </w:style>
  <w:style w:type="character" w:customStyle="1" w:styleId="FooterChar">
    <w:name w:val="Footer Char"/>
    <w:basedOn w:val="DefaultParagraphFont"/>
    <w:link w:val="Footer"/>
    <w:uiPriority w:val="99"/>
    <w:rsid w:val="00403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72A"/>
    <w:rPr>
      <w:rFonts w:ascii="Tahoma" w:hAnsi="Tahoma" w:cs="Tahoma"/>
      <w:sz w:val="16"/>
      <w:szCs w:val="16"/>
    </w:rPr>
  </w:style>
  <w:style w:type="character" w:customStyle="1" w:styleId="BalloonTextChar">
    <w:name w:val="Balloon Text Char"/>
    <w:basedOn w:val="DefaultParagraphFont"/>
    <w:link w:val="BalloonText"/>
    <w:uiPriority w:val="99"/>
    <w:semiHidden/>
    <w:rsid w:val="00F6272A"/>
    <w:rPr>
      <w:rFonts w:ascii="Tahoma" w:hAnsi="Tahoma" w:cs="Tahoma"/>
      <w:sz w:val="16"/>
      <w:szCs w:val="16"/>
    </w:rPr>
  </w:style>
  <w:style w:type="paragraph" w:customStyle="1" w:styleId="Default">
    <w:name w:val="Default"/>
    <w:rsid w:val="00767E58"/>
    <w:pPr>
      <w:autoSpaceDE w:val="0"/>
      <w:autoSpaceDN w:val="0"/>
      <w:adjustRightInd w:val="0"/>
    </w:pPr>
    <w:rPr>
      <w:color w:val="000000"/>
    </w:rPr>
  </w:style>
  <w:style w:type="character" w:styleId="CommentReference">
    <w:name w:val="annotation reference"/>
    <w:basedOn w:val="DefaultParagraphFont"/>
    <w:uiPriority w:val="99"/>
    <w:semiHidden/>
    <w:unhideWhenUsed/>
    <w:rsid w:val="00A41C58"/>
    <w:rPr>
      <w:sz w:val="16"/>
      <w:szCs w:val="16"/>
    </w:rPr>
  </w:style>
  <w:style w:type="paragraph" w:styleId="CommentText">
    <w:name w:val="annotation text"/>
    <w:basedOn w:val="Normal"/>
    <w:link w:val="CommentTextChar"/>
    <w:uiPriority w:val="99"/>
    <w:semiHidden/>
    <w:unhideWhenUsed/>
    <w:rsid w:val="00A41C58"/>
    <w:rPr>
      <w:sz w:val="20"/>
      <w:szCs w:val="20"/>
    </w:rPr>
  </w:style>
  <w:style w:type="character" w:customStyle="1" w:styleId="CommentTextChar">
    <w:name w:val="Comment Text Char"/>
    <w:basedOn w:val="DefaultParagraphFont"/>
    <w:link w:val="CommentText"/>
    <w:uiPriority w:val="99"/>
    <w:semiHidden/>
    <w:rsid w:val="00A41C58"/>
    <w:rPr>
      <w:sz w:val="20"/>
      <w:szCs w:val="20"/>
    </w:rPr>
  </w:style>
  <w:style w:type="paragraph" w:styleId="CommentSubject">
    <w:name w:val="annotation subject"/>
    <w:basedOn w:val="CommentText"/>
    <w:next w:val="CommentText"/>
    <w:link w:val="CommentSubjectChar"/>
    <w:uiPriority w:val="99"/>
    <w:semiHidden/>
    <w:unhideWhenUsed/>
    <w:rsid w:val="00A41C58"/>
    <w:rPr>
      <w:b/>
      <w:bCs/>
    </w:rPr>
  </w:style>
  <w:style w:type="character" w:customStyle="1" w:styleId="CommentSubjectChar">
    <w:name w:val="Comment Subject Char"/>
    <w:basedOn w:val="CommentTextChar"/>
    <w:link w:val="CommentSubject"/>
    <w:uiPriority w:val="99"/>
    <w:semiHidden/>
    <w:rsid w:val="00A41C58"/>
    <w:rPr>
      <w:b/>
      <w:bCs/>
      <w:sz w:val="20"/>
      <w:szCs w:val="20"/>
    </w:rPr>
  </w:style>
  <w:style w:type="paragraph" w:styleId="ListParagraph">
    <w:name w:val="List Paragraph"/>
    <w:basedOn w:val="Normal"/>
    <w:uiPriority w:val="34"/>
    <w:qFormat/>
    <w:rsid w:val="008236F6"/>
    <w:pPr>
      <w:ind w:left="720"/>
    </w:pPr>
  </w:style>
  <w:style w:type="paragraph" w:styleId="Revision">
    <w:name w:val="Revision"/>
    <w:hidden/>
    <w:uiPriority w:val="99"/>
    <w:semiHidden/>
    <w:rsid w:val="00B141B8"/>
  </w:style>
  <w:style w:type="paragraph" w:styleId="Header">
    <w:name w:val="header"/>
    <w:basedOn w:val="Normal"/>
    <w:link w:val="HeaderChar"/>
    <w:uiPriority w:val="99"/>
    <w:unhideWhenUsed/>
    <w:rsid w:val="004031BD"/>
    <w:pPr>
      <w:tabs>
        <w:tab w:val="center" w:pos="4513"/>
        <w:tab w:val="right" w:pos="9026"/>
      </w:tabs>
    </w:pPr>
  </w:style>
  <w:style w:type="character" w:customStyle="1" w:styleId="HeaderChar">
    <w:name w:val="Header Char"/>
    <w:basedOn w:val="DefaultParagraphFont"/>
    <w:link w:val="Header"/>
    <w:uiPriority w:val="99"/>
    <w:rsid w:val="004031BD"/>
  </w:style>
  <w:style w:type="paragraph" w:styleId="Footer">
    <w:name w:val="footer"/>
    <w:basedOn w:val="Normal"/>
    <w:link w:val="FooterChar"/>
    <w:uiPriority w:val="99"/>
    <w:unhideWhenUsed/>
    <w:rsid w:val="004031BD"/>
    <w:pPr>
      <w:tabs>
        <w:tab w:val="center" w:pos="4513"/>
        <w:tab w:val="right" w:pos="9026"/>
      </w:tabs>
    </w:pPr>
  </w:style>
  <w:style w:type="character" w:customStyle="1" w:styleId="FooterChar">
    <w:name w:val="Footer Char"/>
    <w:basedOn w:val="DefaultParagraphFont"/>
    <w:link w:val="Footer"/>
    <w:uiPriority w:val="99"/>
    <w:rsid w:val="0040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9300">
      <w:bodyDiv w:val="1"/>
      <w:marLeft w:val="0"/>
      <w:marRight w:val="0"/>
      <w:marTop w:val="0"/>
      <w:marBottom w:val="0"/>
      <w:divBdr>
        <w:top w:val="none" w:sz="0" w:space="0" w:color="auto"/>
        <w:left w:val="none" w:sz="0" w:space="0" w:color="auto"/>
        <w:bottom w:val="none" w:sz="0" w:space="0" w:color="auto"/>
        <w:right w:val="none" w:sz="0" w:space="0" w:color="auto"/>
      </w:divBdr>
    </w:div>
    <w:div w:id="71972880">
      <w:bodyDiv w:val="1"/>
      <w:marLeft w:val="0"/>
      <w:marRight w:val="0"/>
      <w:marTop w:val="0"/>
      <w:marBottom w:val="0"/>
      <w:divBdr>
        <w:top w:val="none" w:sz="0" w:space="0" w:color="auto"/>
        <w:left w:val="none" w:sz="0" w:space="0" w:color="auto"/>
        <w:bottom w:val="none" w:sz="0" w:space="0" w:color="auto"/>
        <w:right w:val="none" w:sz="0" w:space="0" w:color="auto"/>
      </w:divBdr>
    </w:div>
    <w:div w:id="384915545">
      <w:bodyDiv w:val="1"/>
      <w:marLeft w:val="0"/>
      <w:marRight w:val="0"/>
      <w:marTop w:val="0"/>
      <w:marBottom w:val="0"/>
      <w:divBdr>
        <w:top w:val="none" w:sz="0" w:space="0" w:color="auto"/>
        <w:left w:val="none" w:sz="0" w:space="0" w:color="auto"/>
        <w:bottom w:val="none" w:sz="0" w:space="0" w:color="auto"/>
        <w:right w:val="none" w:sz="0" w:space="0" w:color="auto"/>
      </w:divBdr>
    </w:div>
    <w:div w:id="582027849">
      <w:bodyDiv w:val="1"/>
      <w:marLeft w:val="0"/>
      <w:marRight w:val="0"/>
      <w:marTop w:val="0"/>
      <w:marBottom w:val="0"/>
      <w:divBdr>
        <w:top w:val="none" w:sz="0" w:space="0" w:color="auto"/>
        <w:left w:val="none" w:sz="0" w:space="0" w:color="auto"/>
        <w:bottom w:val="none" w:sz="0" w:space="0" w:color="auto"/>
        <w:right w:val="none" w:sz="0" w:space="0" w:color="auto"/>
      </w:divBdr>
    </w:div>
    <w:div w:id="599217116">
      <w:bodyDiv w:val="1"/>
      <w:marLeft w:val="0"/>
      <w:marRight w:val="0"/>
      <w:marTop w:val="0"/>
      <w:marBottom w:val="0"/>
      <w:divBdr>
        <w:top w:val="none" w:sz="0" w:space="0" w:color="auto"/>
        <w:left w:val="none" w:sz="0" w:space="0" w:color="auto"/>
        <w:bottom w:val="none" w:sz="0" w:space="0" w:color="auto"/>
        <w:right w:val="none" w:sz="0" w:space="0" w:color="auto"/>
      </w:divBdr>
    </w:div>
    <w:div w:id="762268097">
      <w:bodyDiv w:val="1"/>
      <w:marLeft w:val="0"/>
      <w:marRight w:val="0"/>
      <w:marTop w:val="0"/>
      <w:marBottom w:val="0"/>
      <w:divBdr>
        <w:top w:val="none" w:sz="0" w:space="0" w:color="auto"/>
        <w:left w:val="none" w:sz="0" w:space="0" w:color="auto"/>
        <w:bottom w:val="none" w:sz="0" w:space="0" w:color="auto"/>
        <w:right w:val="none" w:sz="0" w:space="0" w:color="auto"/>
      </w:divBdr>
    </w:div>
    <w:div w:id="859778938">
      <w:bodyDiv w:val="1"/>
      <w:marLeft w:val="0"/>
      <w:marRight w:val="0"/>
      <w:marTop w:val="0"/>
      <w:marBottom w:val="0"/>
      <w:divBdr>
        <w:top w:val="none" w:sz="0" w:space="0" w:color="auto"/>
        <w:left w:val="none" w:sz="0" w:space="0" w:color="auto"/>
        <w:bottom w:val="none" w:sz="0" w:space="0" w:color="auto"/>
        <w:right w:val="none" w:sz="0" w:space="0" w:color="auto"/>
      </w:divBdr>
    </w:div>
    <w:div w:id="974335403">
      <w:bodyDiv w:val="1"/>
      <w:marLeft w:val="0"/>
      <w:marRight w:val="0"/>
      <w:marTop w:val="0"/>
      <w:marBottom w:val="0"/>
      <w:divBdr>
        <w:top w:val="none" w:sz="0" w:space="0" w:color="auto"/>
        <w:left w:val="none" w:sz="0" w:space="0" w:color="auto"/>
        <w:bottom w:val="none" w:sz="0" w:space="0" w:color="auto"/>
        <w:right w:val="none" w:sz="0" w:space="0" w:color="auto"/>
      </w:divBdr>
    </w:div>
    <w:div w:id="1040321347">
      <w:bodyDiv w:val="1"/>
      <w:marLeft w:val="0"/>
      <w:marRight w:val="0"/>
      <w:marTop w:val="0"/>
      <w:marBottom w:val="0"/>
      <w:divBdr>
        <w:top w:val="none" w:sz="0" w:space="0" w:color="auto"/>
        <w:left w:val="none" w:sz="0" w:space="0" w:color="auto"/>
        <w:bottom w:val="none" w:sz="0" w:space="0" w:color="auto"/>
        <w:right w:val="none" w:sz="0" w:space="0" w:color="auto"/>
      </w:divBdr>
    </w:div>
    <w:div w:id="1108424236">
      <w:bodyDiv w:val="1"/>
      <w:marLeft w:val="0"/>
      <w:marRight w:val="0"/>
      <w:marTop w:val="0"/>
      <w:marBottom w:val="0"/>
      <w:divBdr>
        <w:top w:val="none" w:sz="0" w:space="0" w:color="auto"/>
        <w:left w:val="none" w:sz="0" w:space="0" w:color="auto"/>
        <w:bottom w:val="none" w:sz="0" w:space="0" w:color="auto"/>
        <w:right w:val="none" w:sz="0" w:space="0" w:color="auto"/>
      </w:divBdr>
    </w:div>
    <w:div w:id="1191530295">
      <w:bodyDiv w:val="1"/>
      <w:marLeft w:val="0"/>
      <w:marRight w:val="0"/>
      <w:marTop w:val="0"/>
      <w:marBottom w:val="0"/>
      <w:divBdr>
        <w:top w:val="none" w:sz="0" w:space="0" w:color="auto"/>
        <w:left w:val="none" w:sz="0" w:space="0" w:color="auto"/>
        <w:bottom w:val="none" w:sz="0" w:space="0" w:color="auto"/>
        <w:right w:val="none" w:sz="0" w:space="0" w:color="auto"/>
      </w:divBdr>
    </w:div>
    <w:div w:id="1313482094">
      <w:bodyDiv w:val="1"/>
      <w:marLeft w:val="0"/>
      <w:marRight w:val="0"/>
      <w:marTop w:val="0"/>
      <w:marBottom w:val="0"/>
      <w:divBdr>
        <w:top w:val="none" w:sz="0" w:space="0" w:color="auto"/>
        <w:left w:val="none" w:sz="0" w:space="0" w:color="auto"/>
        <w:bottom w:val="none" w:sz="0" w:space="0" w:color="auto"/>
        <w:right w:val="none" w:sz="0" w:space="0" w:color="auto"/>
      </w:divBdr>
    </w:div>
    <w:div w:id="1326395725">
      <w:bodyDiv w:val="1"/>
      <w:marLeft w:val="0"/>
      <w:marRight w:val="0"/>
      <w:marTop w:val="0"/>
      <w:marBottom w:val="0"/>
      <w:divBdr>
        <w:top w:val="none" w:sz="0" w:space="0" w:color="auto"/>
        <w:left w:val="none" w:sz="0" w:space="0" w:color="auto"/>
        <w:bottom w:val="none" w:sz="0" w:space="0" w:color="auto"/>
        <w:right w:val="none" w:sz="0" w:space="0" w:color="auto"/>
      </w:divBdr>
    </w:div>
    <w:div w:id="1443840564">
      <w:bodyDiv w:val="1"/>
      <w:marLeft w:val="0"/>
      <w:marRight w:val="0"/>
      <w:marTop w:val="0"/>
      <w:marBottom w:val="0"/>
      <w:divBdr>
        <w:top w:val="none" w:sz="0" w:space="0" w:color="auto"/>
        <w:left w:val="none" w:sz="0" w:space="0" w:color="auto"/>
        <w:bottom w:val="none" w:sz="0" w:space="0" w:color="auto"/>
        <w:right w:val="none" w:sz="0" w:space="0" w:color="auto"/>
      </w:divBdr>
    </w:div>
    <w:div w:id="1695350837">
      <w:bodyDiv w:val="1"/>
      <w:marLeft w:val="0"/>
      <w:marRight w:val="0"/>
      <w:marTop w:val="0"/>
      <w:marBottom w:val="0"/>
      <w:divBdr>
        <w:top w:val="none" w:sz="0" w:space="0" w:color="auto"/>
        <w:left w:val="none" w:sz="0" w:space="0" w:color="auto"/>
        <w:bottom w:val="none" w:sz="0" w:space="0" w:color="auto"/>
        <w:right w:val="none" w:sz="0" w:space="0" w:color="auto"/>
      </w:divBdr>
    </w:div>
    <w:div w:id="1823500925">
      <w:bodyDiv w:val="1"/>
      <w:marLeft w:val="0"/>
      <w:marRight w:val="0"/>
      <w:marTop w:val="0"/>
      <w:marBottom w:val="0"/>
      <w:divBdr>
        <w:top w:val="none" w:sz="0" w:space="0" w:color="auto"/>
        <w:left w:val="none" w:sz="0" w:space="0" w:color="auto"/>
        <w:bottom w:val="none" w:sz="0" w:space="0" w:color="auto"/>
        <w:right w:val="none" w:sz="0" w:space="0" w:color="auto"/>
      </w:divBdr>
    </w:div>
    <w:div w:id="1886020523">
      <w:bodyDiv w:val="1"/>
      <w:marLeft w:val="0"/>
      <w:marRight w:val="0"/>
      <w:marTop w:val="0"/>
      <w:marBottom w:val="0"/>
      <w:divBdr>
        <w:top w:val="none" w:sz="0" w:space="0" w:color="auto"/>
        <w:left w:val="none" w:sz="0" w:space="0" w:color="auto"/>
        <w:bottom w:val="none" w:sz="0" w:space="0" w:color="auto"/>
        <w:right w:val="none" w:sz="0" w:space="0" w:color="auto"/>
      </w:divBdr>
    </w:div>
    <w:div w:id="19231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16-v-fls-pl-90\Home_Folder_3\O-R\Paul.Adams\Workforce%20Equalities%20Data\Forensic%20analysis\Copy%20of%20WorkforceStats_150618_v3%20(Bella%20inf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16-v-fls-pl-90\Home_Folder_3\O-R\Paul.Adams\Workforce%20Equalities%20Data\Forensic%20analysis\Copy%20of%20WorkforceStats_150618_v3%20(Bella%20inf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16-v-fls-pl-90\Home_Folder_3\O-R\Paul.Adams\Workforce%20Equalities%20Data\Forensic%20analysis\Copy%20of%20WorkforceStats_150618_v3%20(Bella%20inf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16-v-fls-pl-90\Home_Folder_3\O-R\Paul.Adams\Workforce%20Equalities%20Data\Forensic%20analysis\Copy%20of%20WorkforceStats_150618_v3%20(Bella%20inf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16-v-fls-pl-90\Home_Folder_3\O-R\Paul.Adams\Workforce%20Equalities%20Data\Forensic%20analysis\Copy%20of%20WorkforceStats_150618_v3%20(Bella%20inf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16-v-fls-pl-90\Home_Folder_3\O-R\Paul.Adams\Workforce%20Equalities%20Data\Forensic%20analysis\Copy%20of%20WorkforceStats_150618_v3%20(Bella%20inf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s16-v-fls-pl-90\Home_Folder_3\O-R\Paul.Adams\Workforce%20Equalities%20Data\Forensic%20analysis\Copy%20of%20WorkforceStats_150618_v3%20(Bella%20inf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344304461942301"/>
          <c:y val="3.2007260324067803E-2"/>
          <c:w val="0.61822362204724401"/>
          <c:h val="0.89577176468505204"/>
        </c:manualLayout>
      </c:layout>
      <c:barChart>
        <c:barDir val="col"/>
        <c:grouping val="clustered"/>
        <c:varyColors val="0"/>
        <c:ser>
          <c:idx val="0"/>
          <c:order val="0"/>
          <c:tx>
            <c:strRef>
              <c:f>Graphs_trends!$F$3</c:f>
              <c:strCache>
                <c:ptCount val="1"/>
                <c:pt idx="0">
                  <c:v>Women</c:v>
                </c:pt>
              </c:strCache>
            </c:strRef>
          </c:tx>
          <c:spPr>
            <a:solidFill>
              <a:schemeClr val="accent1"/>
            </a:solidFill>
          </c:spPr>
          <c:invertIfNegative val="0"/>
          <c:dPt>
            <c:idx val="1"/>
            <c:invertIfNegative val="0"/>
            <c:bubble3D val="0"/>
          </c:dPt>
          <c:dLbls>
            <c:numFmt formatCode="0.0%" sourceLinked="0"/>
            <c:txPr>
              <a:bodyPr/>
              <a:lstStyle/>
              <a:p>
                <a:pPr>
                  <a:defRPr sz="1200" b="1">
                    <a:solidFill>
                      <a:schemeClr val="accent1"/>
                    </a:solidFill>
                  </a:defRPr>
                </a:pPr>
                <a:endParaRPr lang="en-US"/>
              </a:p>
            </c:txPr>
            <c:showLegendKey val="0"/>
            <c:showVal val="1"/>
            <c:showCatName val="0"/>
            <c:showSerName val="0"/>
            <c:showPercent val="0"/>
            <c:showBubbleSize val="0"/>
            <c:showLeaderLines val="0"/>
          </c:dLbls>
          <c:cat>
            <c:strRef>
              <c:f>Graphs_trends!$B$6:$B$8</c:f>
              <c:strCache>
                <c:ptCount val="3"/>
                <c:pt idx="0">
                  <c:v>Council employees (2016)</c:v>
                </c:pt>
                <c:pt idx="1">
                  <c:v>Council employees (2017)</c:v>
                </c:pt>
                <c:pt idx="2">
                  <c:v>Council employees (2018)</c:v>
                </c:pt>
              </c:strCache>
            </c:strRef>
          </c:cat>
          <c:val>
            <c:numRef>
              <c:f>Graphs_trends!$F$6:$F$8</c:f>
              <c:numCache>
                <c:formatCode>0.0%</c:formatCode>
                <c:ptCount val="3"/>
                <c:pt idx="0">
                  <c:v>0.34499999999999997</c:v>
                </c:pt>
                <c:pt idx="1">
                  <c:v>0.35289999999999999</c:v>
                </c:pt>
                <c:pt idx="2">
                  <c:v>0.35589999999999999</c:v>
                </c:pt>
              </c:numCache>
            </c:numRef>
          </c:val>
        </c:ser>
        <c:dLbls>
          <c:showLegendKey val="0"/>
          <c:showVal val="0"/>
          <c:showCatName val="0"/>
          <c:showSerName val="0"/>
          <c:showPercent val="0"/>
          <c:showBubbleSize val="0"/>
        </c:dLbls>
        <c:gapWidth val="150"/>
        <c:axId val="121188736"/>
        <c:axId val="121190272"/>
      </c:barChart>
      <c:catAx>
        <c:axId val="121188736"/>
        <c:scaling>
          <c:orientation val="minMax"/>
        </c:scaling>
        <c:delete val="0"/>
        <c:axPos val="b"/>
        <c:majorTickMark val="out"/>
        <c:minorTickMark val="none"/>
        <c:tickLblPos val="nextTo"/>
        <c:crossAx val="121190272"/>
        <c:crosses val="autoZero"/>
        <c:auto val="1"/>
        <c:lblAlgn val="ctr"/>
        <c:lblOffset val="100"/>
        <c:noMultiLvlLbl val="0"/>
      </c:catAx>
      <c:valAx>
        <c:axId val="121190272"/>
        <c:scaling>
          <c:orientation val="minMax"/>
          <c:max val="0.5"/>
          <c:min val="0"/>
        </c:scaling>
        <c:delete val="0"/>
        <c:axPos val="l"/>
        <c:majorGridlines/>
        <c:numFmt formatCode="0%" sourceLinked="0"/>
        <c:majorTickMark val="out"/>
        <c:minorTickMark val="none"/>
        <c:tickLblPos val="nextTo"/>
        <c:crossAx val="121188736"/>
        <c:crosses val="autoZero"/>
        <c:crossBetween val="between"/>
        <c:majorUnit val="0.1"/>
      </c:valAx>
    </c:plotArea>
    <c:plotVisOnly val="1"/>
    <c:dispBlanksAs val="gap"/>
    <c:showDLblsOverMax val="0"/>
  </c:chart>
  <c:spPr>
    <a:solidFill>
      <a:schemeClr val="bg1">
        <a:lumMod val="65000"/>
      </a:schemeClr>
    </a:soli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814895662794606E-2"/>
          <c:y val="3.3378484392110698E-2"/>
          <c:w val="0.60607442634027198"/>
          <c:h val="0.89130651950672501"/>
        </c:manualLayout>
      </c:layout>
      <c:barChart>
        <c:barDir val="col"/>
        <c:grouping val="clustered"/>
        <c:varyColors val="0"/>
        <c:ser>
          <c:idx val="0"/>
          <c:order val="0"/>
          <c:spPr>
            <a:solidFill>
              <a:schemeClr val="accent1"/>
            </a:solidFill>
          </c:spPr>
          <c:invertIfNegative val="0"/>
          <c:dPt>
            <c:idx val="0"/>
            <c:invertIfNegative val="0"/>
            <c:bubble3D val="0"/>
          </c:dPt>
          <c:dLbls>
            <c:dLbl>
              <c:idx val="0"/>
              <c:layout>
                <c:manualLayout>
                  <c:x val="-1.65016501650165E-3"/>
                  <c:y val="1.2928416239420201E-2"/>
                </c:manualLayout>
              </c:layout>
              <c:showLegendKey val="0"/>
              <c:showVal val="1"/>
              <c:showCatName val="0"/>
              <c:showSerName val="0"/>
              <c:showPercent val="0"/>
              <c:showBubbleSize val="0"/>
            </c:dLbl>
            <c:dLbl>
              <c:idx val="1"/>
              <c:layout>
                <c:manualLayout>
                  <c:x val="0"/>
                  <c:y val="6.0127764397640499E-3"/>
                </c:manualLayout>
              </c:layout>
              <c:showLegendKey val="0"/>
              <c:showVal val="1"/>
              <c:showCatName val="0"/>
              <c:showSerName val="0"/>
              <c:showPercent val="0"/>
              <c:showBubbleSize val="0"/>
            </c:dLbl>
            <c:dLbl>
              <c:idx val="2"/>
              <c:layout>
                <c:manualLayout>
                  <c:x val="0"/>
                  <c:y val="6.0127764397640499E-3"/>
                </c:manualLayout>
              </c:layout>
              <c:showLegendKey val="0"/>
              <c:showVal val="1"/>
              <c:showCatName val="0"/>
              <c:showSerName val="0"/>
              <c:showPercent val="0"/>
              <c:showBubbleSize val="0"/>
            </c:dLbl>
            <c:numFmt formatCode="0.00%" sourceLinked="0"/>
            <c:txPr>
              <a:bodyPr/>
              <a:lstStyle/>
              <a:p>
                <a:pPr>
                  <a:defRPr sz="1200" b="1">
                    <a:solidFill>
                      <a:schemeClr val="accent1"/>
                    </a:solidFill>
                  </a:defRPr>
                </a:pPr>
                <a:endParaRPr lang="en-US"/>
              </a:p>
            </c:txPr>
            <c:showLegendKey val="0"/>
            <c:showVal val="1"/>
            <c:showCatName val="0"/>
            <c:showSerName val="0"/>
            <c:showPercent val="0"/>
            <c:showBubbleSize val="0"/>
            <c:showLeaderLines val="0"/>
          </c:dLbls>
          <c:cat>
            <c:strRef>
              <c:f>Graphs_trends!$B$6:$B$8</c:f>
              <c:strCache>
                <c:ptCount val="3"/>
                <c:pt idx="0">
                  <c:v>Council employees (2016)</c:v>
                </c:pt>
                <c:pt idx="1">
                  <c:v>Council employees (2017)</c:v>
                </c:pt>
                <c:pt idx="2">
                  <c:v>Council employees (2018)</c:v>
                </c:pt>
              </c:strCache>
            </c:strRef>
          </c:cat>
          <c:val>
            <c:numRef>
              <c:f>Graphs_trends!$C$6:$C$8</c:f>
              <c:numCache>
                <c:formatCode>0.00%</c:formatCode>
                <c:ptCount val="3"/>
                <c:pt idx="0">
                  <c:v>8.6900000000000005E-2</c:v>
                </c:pt>
                <c:pt idx="1">
                  <c:v>8.4599999999999995E-2</c:v>
                </c:pt>
                <c:pt idx="2">
                  <c:v>8.9499999999999996E-2</c:v>
                </c:pt>
              </c:numCache>
            </c:numRef>
          </c:val>
        </c:ser>
        <c:dLbls>
          <c:showLegendKey val="0"/>
          <c:showVal val="0"/>
          <c:showCatName val="0"/>
          <c:showSerName val="0"/>
          <c:showPercent val="0"/>
          <c:showBubbleSize val="0"/>
        </c:dLbls>
        <c:gapWidth val="82"/>
        <c:axId val="39886848"/>
        <c:axId val="39888384"/>
      </c:barChart>
      <c:catAx>
        <c:axId val="39886848"/>
        <c:scaling>
          <c:orientation val="minMax"/>
        </c:scaling>
        <c:delete val="0"/>
        <c:axPos val="b"/>
        <c:numFmt formatCode="General" sourceLinked="1"/>
        <c:majorTickMark val="out"/>
        <c:minorTickMark val="none"/>
        <c:tickLblPos val="nextTo"/>
        <c:crossAx val="39888384"/>
        <c:crosses val="autoZero"/>
        <c:auto val="1"/>
        <c:lblAlgn val="ctr"/>
        <c:lblOffset val="100"/>
        <c:noMultiLvlLbl val="0"/>
      </c:catAx>
      <c:valAx>
        <c:axId val="39888384"/>
        <c:scaling>
          <c:orientation val="minMax"/>
          <c:max val="0.25"/>
        </c:scaling>
        <c:delete val="0"/>
        <c:axPos val="l"/>
        <c:majorGridlines/>
        <c:numFmt formatCode="0%" sourceLinked="0"/>
        <c:majorTickMark val="out"/>
        <c:minorTickMark val="none"/>
        <c:tickLblPos val="nextTo"/>
        <c:crossAx val="39886848"/>
        <c:crosses val="autoZero"/>
        <c:crossBetween val="between"/>
      </c:valAx>
    </c:plotArea>
    <c:plotVisOnly val="1"/>
    <c:dispBlanksAs val="gap"/>
    <c:showDLblsOverMax val="0"/>
  </c:chart>
  <c:spPr>
    <a:solidFill>
      <a:schemeClr val="bg1">
        <a:lumMod val="65000"/>
      </a:schemeClr>
    </a:soli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938541469113906E-2"/>
          <c:y val="5.1400554097404502E-2"/>
          <c:w val="0.59363700857642598"/>
          <c:h val="0.631421365171002"/>
        </c:manualLayout>
      </c:layout>
      <c:barChart>
        <c:barDir val="col"/>
        <c:grouping val="clustered"/>
        <c:varyColors val="0"/>
        <c:ser>
          <c:idx val="0"/>
          <c:order val="0"/>
          <c:invertIfNegative val="0"/>
          <c:dLbls>
            <c:txPr>
              <a:bodyPr/>
              <a:lstStyle/>
              <a:p>
                <a:pPr>
                  <a:defRPr sz="1200" b="1">
                    <a:solidFill>
                      <a:schemeClr val="accent1"/>
                    </a:solidFill>
                  </a:defRPr>
                </a:pPr>
                <a:endParaRPr lang="en-US"/>
              </a:p>
            </c:txPr>
            <c:showLegendKey val="0"/>
            <c:showVal val="1"/>
            <c:showCatName val="0"/>
            <c:showSerName val="0"/>
            <c:showPercent val="0"/>
            <c:showBubbleSize val="0"/>
            <c:showLeaderLines val="0"/>
          </c:dLbls>
          <c:cat>
            <c:strRef>
              <c:f>age_ethnicity!$A$26:$A$30</c:f>
              <c:strCache>
                <c:ptCount val="5"/>
                <c:pt idx="0">
                  <c:v>White Other (incl. Irish)</c:v>
                </c:pt>
                <c:pt idx="1">
                  <c:v>Mixed</c:v>
                </c:pt>
                <c:pt idx="2">
                  <c:v>Asian</c:v>
                </c:pt>
                <c:pt idx="3">
                  <c:v>Black</c:v>
                </c:pt>
                <c:pt idx="4">
                  <c:v>Other</c:v>
                </c:pt>
              </c:strCache>
            </c:strRef>
          </c:cat>
          <c:val>
            <c:numRef>
              <c:f>age_ethnicity!$B$26:$B$30</c:f>
              <c:numCache>
                <c:formatCode>0.0%</c:formatCode>
                <c:ptCount val="5"/>
                <c:pt idx="0">
                  <c:v>7.2987208427388997E-2</c:v>
                </c:pt>
                <c:pt idx="1">
                  <c:v>2.2573363431151201E-2</c:v>
                </c:pt>
                <c:pt idx="2">
                  <c:v>3.4612490594431902E-2</c:v>
                </c:pt>
                <c:pt idx="3">
                  <c:v>2.9345372460496601E-2</c:v>
                </c:pt>
                <c:pt idx="4">
                  <c:v>3.0097817908201702E-3</c:v>
                </c:pt>
              </c:numCache>
            </c:numRef>
          </c:val>
        </c:ser>
        <c:ser>
          <c:idx val="1"/>
          <c:order val="1"/>
          <c:tx>
            <c:strRef>
              <c:f>age_ethnicity!$C$24</c:f>
              <c:strCache>
                <c:ptCount val="1"/>
                <c:pt idx="0">
                  <c:v>Census</c:v>
                </c:pt>
              </c:strCache>
            </c:strRef>
          </c:tx>
          <c:invertIfNegative val="0"/>
          <c:dLbls>
            <c:txPr>
              <a:bodyPr/>
              <a:lstStyle/>
              <a:p>
                <a:pPr>
                  <a:defRPr sz="1200" b="1">
                    <a:solidFill>
                      <a:schemeClr val="accent2"/>
                    </a:solidFill>
                  </a:defRPr>
                </a:pPr>
                <a:endParaRPr lang="en-US"/>
              </a:p>
            </c:txPr>
            <c:showLegendKey val="0"/>
            <c:showVal val="1"/>
            <c:showCatName val="0"/>
            <c:showSerName val="0"/>
            <c:showPercent val="0"/>
            <c:showBubbleSize val="0"/>
            <c:showLeaderLines val="0"/>
          </c:dLbls>
          <c:val>
            <c:numRef>
              <c:f>age_ethnicity!$C$26:$C$30</c:f>
              <c:numCache>
                <c:formatCode>0.0%</c:formatCode>
                <c:ptCount val="5"/>
                <c:pt idx="0">
                  <c:v>0.150996251726179</c:v>
                </c:pt>
                <c:pt idx="1">
                  <c:v>2.67271651213257E-2</c:v>
                </c:pt>
                <c:pt idx="2">
                  <c:v>0.116954034326297</c:v>
                </c:pt>
                <c:pt idx="3">
                  <c:v>4.1728151509173403E-2</c:v>
                </c:pt>
                <c:pt idx="4">
                  <c:v>1.29492996646281E-2</c:v>
                </c:pt>
              </c:numCache>
            </c:numRef>
          </c:val>
        </c:ser>
        <c:dLbls>
          <c:showLegendKey val="0"/>
          <c:showVal val="0"/>
          <c:showCatName val="0"/>
          <c:showSerName val="0"/>
          <c:showPercent val="0"/>
          <c:showBubbleSize val="0"/>
        </c:dLbls>
        <c:gapWidth val="150"/>
        <c:axId val="123692928"/>
        <c:axId val="123694464"/>
      </c:barChart>
      <c:catAx>
        <c:axId val="123692928"/>
        <c:scaling>
          <c:orientation val="minMax"/>
        </c:scaling>
        <c:delete val="0"/>
        <c:axPos val="b"/>
        <c:majorTickMark val="out"/>
        <c:minorTickMark val="none"/>
        <c:tickLblPos val="nextTo"/>
        <c:crossAx val="123694464"/>
        <c:crosses val="autoZero"/>
        <c:auto val="1"/>
        <c:lblAlgn val="ctr"/>
        <c:lblOffset val="100"/>
        <c:noMultiLvlLbl val="0"/>
      </c:catAx>
      <c:valAx>
        <c:axId val="123694464"/>
        <c:scaling>
          <c:orientation val="minMax"/>
        </c:scaling>
        <c:delete val="0"/>
        <c:axPos val="l"/>
        <c:numFmt formatCode="0.0%" sourceLinked="1"/>
        <c:majorTickMark val="out"/>
        <c:minorTickMark val="none"/>
        <c:tickLblPos val="nextTo"/>
        <c:crossAx val="123692928"/>
        <c:crosses val="autoZero"/>
        <c:crossBetween val="between"/>
        <c:majorUnit val="0.05"/>
      </c:valAx>
      <c:spPr>
        <a:solidFill>
          <a:schemeClr val="bg1"/>
        </a:solidFill>
      </c:spPr>
    </c:plotArea>
    <c:plotVisOnly val="1"/>
    <c:dispBlanksAs val="gap"/>
    <c:showDLblsOverMax val="0"/>
  </c:chart>
  <c:spPr>
    <a:solidFill>
      <a:schemeClr val="bg1">
        <a:lumMod val="65000"/>
      </a:schemeClr>
    </a:solidFill>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687089025532602"/>
          <c:y val="3.2190755646153403E-2"/>
          <c:w val="0.52017269042783099"/>
          <c:h val="0.892675681756392"/>
        </c:manualLayout>
      </c:layout>
      <c:lineChart>
        <c:grouping val="standard"/>
        <c:varyColors val="0"/>
        <c:ser>
          <c:idx val="0"/>
          <c:order val="0"/>
          <c:marker>
            <c:symbol val="none"/>
          </c:marker>
          <c:cat>
            <c:strRef>
              <c:f>age_ethnicity!$A$15:$A$20</c:f>
              <c:strCache>
                <c:ptCount val="6"/>
                <c:pt idx="0">
                  <c:v>A 16-17</c:v>
                </c:pt>
                <c:pt idx="1">
                  <c:v>A 18-24</c:v>
                </c:pt>
                <c:pt idx="2">
                  <c:v>A 25-34</c:v>
                </c:pt>
                <c:pt idx="3">
                  <c:v>A 35-49</c:v>
                </c:pt>
                <c:pt idx="4">
                  <c:v>A 50-64</c:v>
                </c:pt>
                <c:pt idx="5">
                  <c:v>A 65+</c:v>
                </c:pt>
              </c:strCache>
            </c:strRef>
          </c:cat>
          <c:val>
            <c:numRef>
              <c:f>age_ethnicity!$B$15:$B$20</c:f>
              <c:numCache>
                <c:formatCode>0.0%</c:formatCode>
                <c:ptCount val="6"/>
                <c:pt idx="0">
                  <c:v>3.0097817908201702E-3</c:v>
                </c:pt>
                <c:pt idx="1">
                  <c:v>5.34236267870579E-2</c:v>
                </c:pt>
                <c:pt idx="2">
                  <c:v>0.20316027088036101</c:v>
                </c:pt>
                <c:pt idx="3">
                  <c:v>0.34838224228743397</c:v>
                </c:pt>
                <c:pt idx="4">
                  <c:v>0.37772761474793098</c:v>
                </c:pt>
                <c:pt idx="5">
                  <c:v>1.4296463506395801E-2</c:v>
                </c:pt>
              </c:numCache>
            </c:numRef>
          </c:val>
          <c:smooth val="0"/>
        </c:ser>
        <c:ser>
          <c:idx val="1"/>
          <c:order val="1"/>
          <c:marker>
            <c:symbol val="none"/>
          </c:marker>
          <c:cat>
            <c:strRef>
              <c:f>age_ethnicity!$A$15:$A$20</c:f>
              <c:strCache>
                <c:ptCount val="6"/>
                <c:pt idx="0">
                  <c:v>A 16-17</c:v>
                </c:pt>
                <c:pt idx="1">
                  <c:v>A 18-24</c:v>
                </c:pt>
                <c:pt idx="2">
                  <c:v>A 25-34</c:v>
                </c:pt>
                <c:pt idx="3">
                  <c:v>A 35-49</c:v>
                </c:pt>
                <c:pt idx="4">
                  <c:v>A 50-64</c:v>
                </c:pt>
                <c:pt idx="5">
                  <c:v>A 65+</c:v>
                </c:pt>
              </c:strCache>
            </c:strRef>
          </c:cat>
          <c:val>
            <c:numRef>
              <c:f>age_ethnicity!$C$15:$C$20</c:f>
              <c:numCache>
                <c:formatCode>0.0%</c:formatCode>
                <c:ptCount val="6"/>
                <c:pt idx="0">
                  <c:v>0.01</c:v>
                </c:pt>
                <c:pt idx="1">
                  <c:v>0.107</c:v>
                </c:pt>
                <c:pt idx="2">
                  <c:v>0.23200000000000001</c:v>
                </c:pt>
                <c:pt idx="3">
                  <c:v>0.33700000000000002</c:v>
                </c:pt>
                <c:pt idx="4">
                  <c:v>0.27600000000000002</c:v>
                </c:pt>
                <c:pt idx="5">
                  <c:v>3.6999999999999998E-2</c:v>
                </c:pt>
              </c:numCache>
            </c:numRef>
          </c:val>
          <c:smooth val="0"/>
        </c:ser>
        <c:dLbls>
          <c:showLegendKey val="0"/>
          <c:showVal val="0"/>
          <c:showCatName val="0"/>
          <c:showSerName val="0"/>
          <c:showPercent val="0"/>
          <c:showBubbleSize val="0"/>
        </c:dLbls>
        <c:marker val="1"/>
        <c:smooth val="0"/>
        <c:axId val="122230272"/>
        <c:axId val="122231808"/>
      </c:lineChart>
      <c:catAx>
        <c:axId val="122230272"/>
        <c:scaling>
          <c:orientation val="minMax"/>
        </c:scaling>
        <c:delete val="0"/>
        <c:axPos val="b"/>
        <c:majorTickMark val="out"/>
        <c:minorTickMark val="none"/>
        <c:tickLblPos val="nextTo"/>
        <c:txPr>
          <a:bodyPr/>
          <a:lstStyle/>
          <a:p>
            <a:pPr>
              <a:defRPr sz="1200"/>
            </a:pPr>
            <a:endParaRPr lang="en-US"/>
          </a:p>
        </c:txPr>
        <c:crossAx val="122231808"/>
        <c:crosses val="autoZero"/>
        <c:auto val="1"/>
        <c:lblAlgn val="ctr"/>
        <c:lblOffset val="100"/>
        <c:noMultiLvlLbl val="0"/>
      </c:catAx>
      <c:valAx>
        <c:axId val="122231808"/>
        <c:scaling>
          <c:orientation val="minMax"/>
        </c:scaling>
        <c:delete val="0"/>
        <c:axPos val="l"/>
        <c:majorGridlines/>
        <c:numFmt formatCode="0%" sourceLinked="0"/>
        <c:majorTickMark val="out"/>
        <c:minorTickMark val="none"/>
        <c:tickLblPos val="nextTo"/>
        <c:txPr>
          <a:bodyPr/>
          <a:lstStyle/>
          <a:p>
            <a:pPr>
              <a:defRPr sz="1200"/>
            </a:pPr>
            <a:endParaRPr lang="en-US"/>
          </a:p>
        </c:txPr>
        <c:crossAx val="122230272"/>
        <c:crosses val="autoZero"/>
        <c:crossBetween val="between"/>
        <c:majorUnit val="0.1"/>
      </c:valAx>
    </c:plotArea>
    <c:plotVisOnly val="1"/>
    <c:dispBlanksAs val="gap"/>
    <c:showDLblsOverMax val="0"/>
  </c:chart>
  <c:spPr>
    <a:solidFill>
      <a:schemeClr val="bg1">
        <a:lumMod val="65000"/>
      </a:schemeClr>
    </a:solidFill>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685248565810801"/>
          <c:y val="5.1400554097404502E-2"/>
          <c:w val="0.61281500627535301"/>
          <c:h val="0.852909505876983"/>
        </c:manualLayout>
      </c:layout>
      <c:barChart>
        <c:barDir val="col"/>
        <c:grouping val="clustered"/>
        <c:varyColors val="0"/>
        <c:ser>
          <c:idx val="0"/>
          <c:order val="0"/>
          <c:tx>
            <c:strRef>
              <c:f>age_ethnicity!$B$36</c:f>
              <c:strCache>
                <c:ptCount val="1"/>
                <c:pt idx="0">
                  <c:v>Council employees</c:v>
                </c:pt>
              </c:strCache>
            </c:strRef>
          </c:tx>
          <c:invertIfNegative val="0"/>
          <c:dLbls>
            <c:txPr>
              <a:bodyPr/>
              <a:lstStyle/>
              <a:p>
                <a:pPr>
                  <a:defRPr sz="1200" b="1">
                    <a:solidFill>
                      <a:schemeClr val="accent1"/>
                    </a:solidFill>
                  </a:defRPr>
                </a:pPr>
                <a:endParaRPr lang="en-US"/>
              </a:p>
            </c:txPr>
            <c:showLegendKey val="0"/>
            <c:showVal val="1"/>
            <c:showCatName val="0"/>
            <c:showSerName val="0"/>
            <c:showPercent val="0"/>
            <c:showBubbleSize val="0"/>
            <c:showLeaderLines val="0"/>
          </c:dLbls>
          <c:cat>
            <c:strRef>
              <c:f>age_ethnicity!$A$37:$A$39</c:f>
              <c:strCache>
                <c:ptCount val="3"/>
                <c:pt idx="0">
                  <c:v>Age 16-24</c:v>
                </c:pt>
                <c:pt idx="1">
                  <c:v>Age 25-49</c:v>
                </c:pt>
                <c:pt idx="2">
                  <c:v>Age 50+</c:v>
                </c:pt>
              </c:strCache>
            </c:strRef>
          </c:cat>
          <c:val>
            <c:numRef>
              <c:f>age_ethnicity!$B$37:$B$39</c:f>
              <c:numCache>
                <c:formatCode>0.0%</c:formatCode>
                <c:ptCount val="3"/>
                <c:pt idx="0">
                  <c:v>9.3333333333333296E-2</c:v>
                </c:pt>
                <c:pt idx="1">
                  <c:v>9.9590723055934499E-2</c:v>
                </c:pt>
                <c:pt idx="2">
                  <c:v>7.4856046065259099E-2</c:v>
                </c:pt>
              </c:numCache>
            </c:numRef>
          </c:val>
        </c:ser>
        <c:ser>
          <c:idx val="1"/>
          <c:order val="1"/>
          <c:tx>
            <c:strRef>
              <c:f>age_ethnicity!$C$36</c:f>
              <c:strCache>
                <c:ptCount val="1"/>
                <c:pt idx="0">
                  <c:v>Census</c:v>
                </c:pt>
              </c:strCache>
            </c:strRef>
          </c:tx>
          <c:invertIfNegative val="0"/>
          <c:dLbls>
            <c:txPr>
              <a:bodyPr/>
              <a:lstStyle/>
              <a:p>
                <a:pPr>
                  <a:defRPr sz="1200" b="1">
                    <a:solidFill>
                      <a:schemeClr val="accent2"/>
                    </a:solidFill>
                  </a:defRPr>
                </a:pPr>
                <a:endParaRPr lang="en-US"/>
              </a:p>
            </c:txPr>
            <c:showLegendKey val="0"/>
            <c:showVal val="1"/>
            <c:showCatName val="0"/>
            <c:showSerName val="0"/>
            <c:showPercent val="0"/>
            <c:showBubbleSize val="0"/>
            <c:showLeaderLines val="0"/>
          </c:dLbls>
          <c:cat>
            <c:strRef>
              <c:f>age_ethnicity!$A$37:$A$39</c:f>
              <c:strCache>
                <c:ptCount val="3"/>
                <c:pt idx="0">
                  <c:v>Age 16-24</c:v>
                </c:pt>
                <c:pt idx="1">
                  <c:v>Age 25-49</c:v>
                </c:pt>
                <c:pt idx="2">
                  <c:v>Age 50+</c:v>
                </c:pt>
              </c:strCache>
            </c:strRef>
          </c:cat>
          <c:val>
            <c:numRef>
              <c:f>age_ethnicity!$C$37:$C$39</c:f>
              <c:numCache>
                <c:formatCode>0.0%</c:formatCode>
                <c:ptCount val="3"/>
                <c:pt idx="0">
                  <c:v>0.17080249600928701</c:v>
                </c:pt>
                <c:pt idx="1">
                  <c:v>0.217550315751215</c:v>
                </c:pt>
                <c:pt idx="2">
                  <c:v>0.11316479847364699</c:v>
                </c:pt>
              </c:numCache>
            </c:numRef>
          </c:val>
        </c:ser>
        <c:dLbls>
          <c:showLegendKey val="0"/>
          <c:showVal val="0"/>
          <c:showCatName val="0"/>
          <c:showSerName val="0"/>
          <c:showPercent val="0"/>
          <c:showBubbleSize val="0"/>
        </c:dLbls>
        <c:gapWidth val="150"/>
        <c:axId val="122284672"/>
        <c:axId val="153887104"/>
      </c:barChart>
      <c:catAx>
        <c:axId val="122284672"/>
        <c:scaling>
          <c:orientation val="minMax"/>
        </c:scaling>
        <c:delete val="0"/>
        <c:axPos val="b"/>
        <c:majorTickMark val="out"/>
        <c:minorTickMark val="none"/>
        <c:tickLblPos val="nextTo"/>
        <c:crossAx val="153887104"/>
        <c:crosses val="autoZero"/>
        <c:auto val="1"/>
        <c:lblAlgn val="ctr"/>
        <c:lblOffset val="100"/>
        <c:noMultiLvlLbl val="0"/>
      </c:catAx>
      <c:valAx>
        <c:axId val="153887104"/>
        <c:scaling>
          <c:orientation val="minMax"/>
        </c:scaling>
        <c:delete val="0"/>
        <c:axPos val="l"/>
        <c:majorGridlines/>
        <c:numFmt formatCode="0%" sourceLinked="0"/>
        <c:majorTickMark val="out"/>
        <c:minorTickMark val="none"/>
        <c:tickLblPos val="nextTo"/>
        <c:crossAx val="122284672"/>
        <c:crosses val="autoZero"/>
        <c:crossBetween val="between"/>
        <c:majorUnit val="0.1"/>
      </c:valAx>
    </c:plotArea>
    <c:legend>
      <c:legendPos val="r"/>
      <c:layout>
        <c:manualLayout>
          <c:xMode val="edge"/>
          <c:yMode val="edge"/>
          <c:x val="0.828000874890639"/>
          <c:y val="9.2208734324876002E-2"/>
          <c:w val="0.130332458442695"/>
          <c:h val="0.1674343832021"/>
        </c:manualLayout>
      </c:layout>
      <c:overlay val="0"/>
    </c:legend>
    <c:plotVisOnly val="1"/>
    <c:dispBlanksAs val="gap"/>
    <c:showDLblsOverMax val="0"/>
  </c:chart>
  <c:spPr>
    <a:solidFill>
      <a:schemeClr val="bg1">
        <a:lumMod val="65000"/>
      </a:schemeClr>
    </a:solidFill>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44304461942298"/>
          <c:y val="3.2007260324067803E-2"/>
          <c:w val="0.58822362204724399"/>
          <c:h val="0.89577176468505204"/>
        </c:manualLayout>
      </c:layout>
      <c:barChart>
        <c:barDir val="col"/>
        <c:grouping val="clustered"/>
        <c:varyColors val="0"/>
        <c:ser>
          <c:idx val="0"/>
          <c:order val="0"/>
          <c:spPr>
            <a:solidFill>
              <a:schemeClr val="accent1"/>
            </a:solidFill>
          </c:spPr>
          <c:invertIfNegative val="0"/>
          <c:dPt>
            <c:idx val="1"/>
            <c:invertIfNegative val="0"/>
            <c:bubble3D val="0"/>
          </c:dPt>
          <c:dLbls>
            <c:numFmt formatCode="0.0%" sourceLinked="0"/>
            <c:txPr>
              <a:bodyPr/>
              <a:lstStyle/>
              <a:p>
                <a:pPr>
                  <a:defRPr sz="1200" b="1">
                    <a:solidFill>
                      <a:schemeClr val="accent1"/>
                    </a:solidFill>
                  </a:defRPr>
                </a:pPr>
                <a:endParaRPr lang="en-US"/>
              </a:p>
            </c:txPr>
            <c:dLblPos val="outEnd"/>
            <c:showLegendKey val="0"/>
            <c:showVal val="1"/>
            <c:showCatName val="0"/>
            <c:showSerName val="0"/>
            <c:showPercent val="0"/>
            <c:showBubbleSize val="0"/>
            <c:showLeaderLines val="0"/>
          </c:dLbls>
          <c:cat>
            <c:strRef>
              <c:f>Graphs_trends!$B$6:$B$8</c:f>
              <c:strCache>
                <c:ptCount val="3"/>
                <c:pt idx="0">
                  <c:v>Council employees (2016)</c:v>
                </c:pt>
                <c:pt idx="1">
                  <c:v>Council employees (2017)</c:v>
                </c:pt>
                <c:pt idx="2">
                  <c:v>Council employees (2018)</c:v>
                </c:pt>
              </c:strCache>
            </c:strRef>
          </c:cat>
          <c:val>
            <c:numRef>
              <c:f>Graphs_trends!$D$6:$D$8</c:f>
              <c:numCache>
                <c:formatCode>0.00%</c:formatCode>
                <c:ptCount val="3"/>
                <c:pt idx="0">
                  <c:v>8.4500000000000006E-2</c:v>
                </c:pt>
                <c:pt idx="1">
                  <c:v>7.6999999999999999E-2</c:v>
                </c:pt>
                <c:pt idx="2">
                  <c:v>7.22E-2</c:v>
                </c:pt>
              </c:numCache>
            </c:numRef>
          </c:val>
        </c:ser>
        <c:dLbls>
          <c:showLegendKey val="0"/>
          <c:showVal val="0"/>
          <c:showCatName val="0"/>
          <c:showSerName val="0"/>
          <c:showPercent val="0"/>
          <c:showBubbleSize val="0"/>
        </c:dLbls>
        <c:gapWidth val="150"/>
        <c:axId val="153916544"/>
        <c:axId val="153918080"/>
      </c:barChart>
      <c:catAx>
        <c:axId val="153916544"/>
        <c:scaling>
          <c:orientation val="minMax"/>
        </c:scaling>
        <c:delete val="0"/>
        <c:axPos val="b"/>
        <c:majorTickMark val="out"/>
        <c:minorTickMark val="none"/>
        <c:tickLblPos val="nextTo"/>
        <c:crossAx val="153918080"/>
        <c:crosses val="autoZero"/>
        <c:auto val="1"/>
        <c:lblAlgn val="ctr"/>
        <c:lblOffset val="100"/>
        <c:noMultiLvlLbl val="0"/>
      </c:catAx>
      <c:valAx>
        <c:axId val="153918080"/>
        <c:scaling>
          <c:orientation val="minMax"/>
          <c:max val="0.1"/>
          <c:min val="0"/>
        </c:scaling>
        <c:delete val="0"/>
        <c:axPos val="l"/>
        <c:majorGridlines/>
        <c:numFmt formatCode="0%" sourceLinked="0"/>
        <c:majorTickMark val="out"/>
        <c:minorTickMark val="none"/>
        <c:tickLblPos val="nextTo"/>
        <c:crossAx val="153916544"/>
        <c:crosses val="autoZero"/>
        <c:crossBetween val="between"/>
        <c:majorUnit val="0.05"/>
      </c:valAx>
    </c:plotArea>
    <c:plotVisOnly val="1"/>
    <c:dispBlanksAs val="gap"/>
    <c:showDLblsOverMax val="0"/>
  </c:chart>
  <c:spPr>
    <a:solidFill>
      <a:schemeClr val="bg1">
        <a:lumMod val="65000"/>
      </a:schemeClr>
    </a:solidFill>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677637795275599"/>
          <c:y val="3.2007260324067803E-2"/>
          <c:w val="0.65489028871391097"/>
          <c:h val="0.89577176468505204"/>
        </c:manualLayout>
      </c:layout>
      <c:barChart>
        <c:barDir val="col"/>
        <c:grouping val="clustered"/>
        <c:varyColors val="0"/>
        <c:ser>
          <c:idx val="0"/>
          <c:order val="0"/>
          <c:spPr>
            <a:solidFill>
              <a:schemeClr val="accent1"/>
            </a:solidFill>
          </c:spPr>
          <c:invertIfNegative val="0"/>
          <c:dPt>
            <c:idx val="1"/>
            <c:invertIfNegative val="0"/>
            <c:bubble3D val="0"/>
          </c:dPt>
          <c:dLbls>
            <c:txPr>
              <a:bodyPr/>
              <a:lstStyle/>
              <a:p>
                <a:pPr>
                  <a:defRPr sz="1200" b="1">
                    <a:solidFill>
                      <a:schemeClr val="accent1"/>
                    </a:solidFill>
                  </a:defRPr>
                </a:pPr>
                <a:endParaRPr lang="en-US"/>
              </a:p>
            </c:txPr>
            <c:showLegendKey val="0"/>
            <c:showVal val="1"/>
            <c:showCatName val="0"/>
            <c:showSerName val="0"/>
            <c:showPercent val="0"/>
            <c:showBubbleSize val="0"/>
            <c:showLeaderLines val="0"/>
          </c:dLbls>
          <c:cat>
            <c:strRef>
              <c:f>Graphs_trends!$B$6:$B$8</c:f>
              <c:strCache>
                <c:ptCount val="3"/>
                <c:pt idx="0">
                  <c:v>Council employees (2016)</c:v>
                </c:pt>
                <c:pt idx="1">
                  <c:v>Council employees (2017)</c:v>
                </c:pt>
                <c:pt idx="2">
                  <c:v>Council employees (2018)</c:v>
                </c:pt>
              </c:strCache>
            </c:strRef>
          </c:cat>
          <c:val>
            <c:numRef>
              <c:f>Graphs_trends!$E$6:$E$8</c:f>
              <c:numCache>
                <c:formatCode>0.0%</c:formatCode>
                <c:ptCount val="3"/>
                <c:pt idx="0">
                  <c:v>1.04E-2</c:v>
                </c:pt>
                <c:pt idx="1">
                  <c:v>1.2E-2</c:v>
                </c:pt>
                <c:pt idx="2">
                  <c:v>1.6E-2</c:v>
                </c:pt>
              </c:numCache>
            </c:numRef>
          </c:val>
        </c:ser>
        <c:dLbls>
          <c:showLegendKey val="0"/>
          <c:showVal val="0"/>
          <c:showCatName val="0"/>
          <c:showSerName val="0"/>
          <c:showPercent val="0"/>
          <c:showBubbleSize val="0"/>
        </c:dLbls>
        <c:gapWidth val="150"/>
        <c:axId val="153958656"/>
        <c:axId val="153972736"/>
      </c:barChart>
      <c:catAx>
        <c:axId val="153958656"/>
        <c:scaling>
          <c:orientation val="minMax"/>
        </c:scaling>
        <c:delete val="0"/>
        <c:axPos val="b"/>
        <c:majorTickMark val="out"/>
        <c:minorTickMark val="none"/>
        <c:tickLblPos val="nextTo"/>
        <c:crossAx val="153972736"/>
        <c:crosses val="autoZero"/>
        <c:auto val="1"/>
        <c:lblAlgn val="ctr"/>
        <c:lblOffset val="100"/>
        <c:noMultiLvlLbl val="0"/>
      </c:catAx>
      <c:valAx>
        <c:axId val="153972736"/>
        <c:scaling>
          <c:orientation val="minMax"/>
          <c:max val="2.5000000000000001E-2"/>
          <c:min val="0"/>
        </c:scaling>
        <c:delete val="0"/>
        <c:axPos val="l"/>
        <c:majorGridlines/>
        <c:numFmt formatCode="0.0%" sourceLinked="1"/>
        <c:majorTickMark val="out"/>
        <c:minorTickMark val="none"/>
        <c:tickLblPos val="nextTo"/>
        <c:crossAx val="153958656"/>
        <c:crosses val="autoZero"/>
        <c:crossBetween val="between"/>
        <c:majorUnit val="5.0000000000000001E-3"/>
      </c:valAx>
    </c:plotArea>
    <c:plotVisOnly val="1"/>
    <c:dispBlanksAs val="gap"/>
    <c:showDLblsOverMax val="0"/>
  </c:chart>
  <c:spPr>
    <a:solidFill>
      <a:schemeClr val="bg1">
        <a:lumMod val="65000"/>
      </a:schemeClr>
    </a:solidFill>
  </c:spPr>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0.015</cdr:x>
      <cdr:y>0.03135</cdr:y>
    </cdr:from>
    <cdr:to>
      <cdr:x>0.27625</cdr:x>
      <cdr:y>0.93946</cdr:y>
    </cdr:to>
    <cdr:sp macro="" textlink="">
      <cdr:nvSpPr>
        <cdr:cNvPr id="2" name="TextBox 1"/>
        <cdr:cNvSpPr txBox="1"/>
      </cdr:nvSpPr>
      <cdr:spPr>
        <a:xfrm xmlns:a="http://schemas.openxmlformats.org/drawingml/2006/main">
          <a:off x="114300" y="138114"/>
          <a:ext cx="1990725" cy="4000500"/>
        </a:xfrm>
        <a:prstGeom xmlns:a="http://schemas.openxmlformats.org/drawingml/2006/main" prst="rect">
          <a:avLst/>
        </a:prstGeom>
        <a:solidFill xmlns:a="http://schemas.openxmlformats.org/drawingml/2006/main">
          <a:schemeClr val="bg1">
            <a:lumMod val="85000"/>
          </a:schemeClr>
        </a:solidFill>
        <a:ln xmlns:a="http://schemas.openxmlformats.org/drawingml/2006/main">
          <a:solidFill>
            <a:schemeClr val="bg1">
              <a:lumMod val="75000"/>
            </a:schemeClr>
          </a:solidFill>
        </a:ln>
      </cdr:spPr>
      <cdr:txBody>
        <a:bodyPr xmlns:a="http://schemas.openxmlformats.org/drawingml/2006/main" vertOverflow="clip" wrap="square" rtlCol="0"/>
        <a:lstStyle xmlns:a="http://schemas.openxmlformats.org/drawingml/2006/main"/>
        <a:p xmlns:a="http://schemas.openxmlformats.org/drawingml/2006/main">
          <a:r>
            <a:rPr lang="en-GB" sz="1400" b="1" u="none"/>
            <a:t>WOMEN</a:t>
          </a:r>
          <a:endParaRPr lang="en-GB" sz="1100" b="1" u="none"/>
        </a:p>
        <a:p xmlns:a="http://schemas.openxmlformats.org/drawingml/2006/main">
          <a:endParaRPr lang="en-GB" sz="1100" b="1" u="none"/>
        </a:p>
        <a:p xmlns:a="http://schemas.openxmlformats.org/drawingml/2006/main">
          <a:r>
            <a:rPr lang="en-GB" sz="1100" b="0" u="none"/>
            <a:t>The Labour Force Survey suggest that in Jan-Mar 2018, 47% of the national workforce</a:t>
          </a:r>
          <a:r>
            <a:rPr lang="en-GB" sz="1100" b="0" u="none" baseline="0"/>
            <a:t> was female.</a:t>
          </a:r>
        </a:p>
        <a:p xmlns:a="http://schemas.openxmlformats.org/drawingml/2006/main">
          <a:endParaRPr lang="en-GB" sz="1100" b="0" u="none" baseline="0"/>
        </a:p>
        <a:p xmlns:a="http://schemas.openxmlformats.org/drawingml/2006/main">
          <a:r>
            <a:rPr lang="en-GB" sz="1100" b="0" u="none" baseline="0"/>
            <a:t>Over the last few years, the proportion of employees who are female has risen and is currently at 35.6%.  </a:t>
          </a:r>
        </a:p>
        <a:p xmlns:a="http://schemas.openxmlformats.org/drawingml/2006/main">
          <a:endParaRPr lang="en-GB" sz="1100" b="0" u="none" baseline="0">
            <a:solidFill>
              <a:srgbClr val="FF0000"/>
            </a:solidFill>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100" b="1" u="none" baseline="0">
              <a:solidFill>
                <a:srgbClr val="FF0000"/>
              </a:solidFill>
            </a:rPr>
            <a:t>This</a:t>
          </a:r>
          <a:r>
            <a:rPr lang="en-GB" sz="1100" b="0" u="none" baseline="0">
              <a:solidFill>
                <a:srgbClr val="FF0000"/>
              </a:solidFill>
            </a:rPr>
            <a:t> </a:t>
          </a:r>
          <a:r>
            <a:rPr lang="en-GB" sz="1100" b="1" u="none" baseline="0">
              <a:solidFill>
                <a:srgbClr val="FF0000"/>
              </a:solidFill>
            </a:rPr>
            <a:t>number is statistically significant</a:t>
          </a:r>
          <a:r>
            <a:rPr lang="en-GB" sz="1100" b="0" u="none" baseline="0">
              <a:solidFill>
                <a:srgbClr val="FF0000"/>
              </a:solidFill>
            </a:rPr>
            <a:t>. </a:t>
          </a:r>
          <a:r>
            <a:rPr lang="en-GB" sz="1100" b="0" baseline="0">
              <a:solidFill>
                <a:sysClr val="windowText" lastClr="000000"/>
              </a:solidFill>
            </a:rPr>
            <a:t>Significance occurs below the pink dotted line.</a:t>
          </a:r>
        </a:p>
        <a:p xmlns:a="http://schemas.openxmlformats.org/drawingml/2006/main">
          <a:endParaRPr lang="en-GB" sz="1100" b="0" u="none" baseline="0">
            <a:solidFill>
              <a:srgbClr val="FF0000"/>
            </a:solidFill>
          </a:endParaRPr>
        </a:p>
        <a:p xmlns:a="http://schemas.openxmlformats.org/drawingml/2006/main">
          <a:endParaRPr lang="en-GB" sz="1100" b="0" u="none" baseline="0">
            <a:solidFill>
              <a:srgbClr val="FF0000"/>
            </a:solidFill>
          </a:endParaRPr>
        </a:p>
      </cdr:txBody>
    </cdr:sp>
  </cdr:relSizeAnchor>
  <cdr:relSizeAnchor xmlns:cdr="http://schemas.openxmlformats.org/drawingml/2006/chartDrawing">
    <cdr:from>
      <cdr:x>0.36375</cdr:x>
      <cdr:y>0.09081</cdr:y>
    </cdr:from>
    <cdr:to>
      <cdr:x>0.98125</cdr:x>
      <cdr:y>0.09297</cdr:y>
    </cdr:to>
    <cdr:cxnSp macro="">
      <cdr:nvCxnSpPr>
        <cdr:cNvPr id="4" name="Straight Connector 3"/>
        <cdr:cNvCxnSpPr/>
      </cdr:nvCxnSpPr>
      <cdr:spPr>
        <a:xfrm xmlns:a="http://schemas.openxmlformats.org/drawingml/2006/main">
          <a:off x="2771775" y="400050"/>
          <a:ext cx="4705350" cy="9525"/>
        </a:xfrm>
        <a:prstGeom xmlns:a="http://schemas.openxmlformats.org/drawingml/2006/main" prst="line">
          <a:avLst/>
        </a:prstGeom>
        <a:ln xmlns:a="http://schemas.openxmlformats.org/drawingml/2006/main" w="6350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0.72875</cdr:x>
      <cdr:y>0.03531</cdr:y>
    </cdr:from>
    <cdr:to>
      <cdr:x>0.98625</cdr:x>
      <cdr:y>0.1373</cdr:y>
    </cdr:to>
    <cdr:sp macro="" textlink="">
      <cdr:nvSpPr>
        <cdr:cNvPr id="8" name="TextBox 1"/>
        <cdr:cNvSpPr txBox="1"/>
      </cdr:nvSpPr>
      <cdr:spPr>
        <a:xfrm xmlns:a="http://schemas.openxmlformats.org/drawingml/2006/main">
          <a:off x="5553075" y="155554"/>
          <a:ext cx="1962150" cy="4492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solidFill>
            </a:rPr>
            <a:t>Red line = Labour Force</a:t>
          </a:r>
          <a:r>
            <a:rPr lang="en-GB" sz="1100" b="1" baseline="0">
              <a:solidFill>
                <a:schemeClr val="accent2"/>
              </a:solidFill>
            </a:rPr>
            <a:t> Survey </a:t>
          </a:r>
          <a:endParaRPr lang="en-GB" sz="1100" b="1">
            <a:solidFill>
              <a:schemeClr val="accent2"/>
            </a:solidFill>
          </a:endParaRPr>
        </a:p>
      </cdr:txBody>
    </cdr:sp>
  </cdr:relSizeAnchor>
  <cdr:relSizeAnchor xmlns:cdr="http://schemas.openxmlformats.org/drawingml/2006/chartDrawing">
    <cdr:from>
      <cdr:x>0.35792</cdr:x>
      <cdr:y>0.03748</cdr:y>
    </cdr:from>
    <cdr:to>
      <cdr:x>0.4425</cdr:x>
      <cdr:y>0.12216</cdr:y>
    </cdr:to>
    <cdr:sp macro="" textlink="">
      <cdr:nvSpPr>
        <cdr:cNvPr id="9" name="TextBox 1"/>
        <cdr:cNvSpPr txBox="1"/>
      </cdr:nvSpPr>
      <cdr:spPr>
        <a:xfrm xmlns:a="http://schemas.openxmlformats.org/drawingml/2006/main">
          <a:off x="2727350" y="165100"/>
          <a:ext cx="644500" cy="3730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solidFill>
            </a:rPr>
            <a:t>47.1%</a:t>
          </a:r>
        </a:p>
      </cdr:txBody>
    </cdr:sp>
  </cdr:relSizeAnchor>
  <cdr:relSizeAnchor xmlns:cdr="http://schemas.openxmlformats.org/drawingml/2006/chartDrawing">
    <cdr:from>
      <cdr:x>0.35917</cdr:x>
      <cdr:y>0.1391</cdr:y>
    </cdr:from>
    <cdr:to>
      <cdr:x>0.44125</cdr:x>
      <cdr:y>0.22379</cdr:y>
    </cdr:to>
    <cdr:sp macro="" textlink="">
      <cdr:nvSpPr>
        <cdr:cNvPr id="12" name="TextBox 1"/>
        <cdr:cNvSpPr txBox="1"/>
      </cdr:nvSpPr>
      <cdr:spPr>
        <a:xfrm xmlns:a="http://schemas.openxmlformats.org/drawingml/2006/main">
          <a:off x="2736875" y="612758"/>
          <a:ext cx="625450" cy="3730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lumMod val="60000"/>
                  <a:lumOff val="40000"/>
                </a:schemeClr>
              </a:solidFill>
            </a:rPr>
            <a:t>44.5%</a:t>
          </a:r>
        </a:p>
      </cdr:txBody>
    </cdr:sp>
  </cdr:relSizeAnchor>
  <cdr:relSizeAnchor xmlns:cdr="http://schemas.openxmlformats.org/drawingml/2006/chartDrawing">
    <cdr:from>
      <cdr:x>0.36625</cdr:x>
      <cdr:y>0.14054</cdr:y>
    </cdr:from>
    <cdr:to>
      <cdr:x>0.9825</cdr:x>
      <cdr:y>0.1427</cdr:y>
    </cdr:to>
    <cdr:cxnSp macro="">
      <cdr:nvCxnSpPr>
        <cdr:cNvPr id="10" name="Straight Connector 9"/>
        <cdr:cNvCxnSpPr/>
      </cdr:nvCxnSpPr>
      <cdr:spPr>
        <a:xfrm xmlns:a="http://schemas.openxmlformats.org/drawingml/2006/main" flipV="1">
          <a:off x="2790825" y="619125"/>
          <a:ext cx="4695825" cy="9526"/>
        </a:xfrm>
        <a:prstGeom xmlns:a="http://schemas.openxmlformats.org/drawingml/2006/main" prst="line">
          <a:avLst/>
        </a:prstGeom>
        <a:ln xmlns:a="http://schemas.openxmlformats.org/drawingml/2006/main" w="28575">
          <a:solidFill>
            <a:schemeClr val="accent2">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0.56173</cdr:x>
      <cdr:y>0.06201</cdr:y>
    </cdr:from>
    <cdr:to>
      <cdr:x>0.97707</cdr:x>
      <cdr:y>0.92559</cdr:y>
    </cdr:to>
    <cdr:sp macro="" textlink="">
      <cdr:nvSpPr>
        <cdr:cNvPr id="2" name="TextBox 1"/>
        <cdr:cNvSpPr txBox="1"/>
      </cdr:nvSpPr>
      <cdr:spPr>
        <a:xfrm xmlns:a="http://schemas.openxmlformats.org/drawingml/2006/main">
          <a:off x="6067425" y="261938"/>
          <a:ext cx="4486275" cy="3648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0.70277</cdr:x>
      <cdr:y>0.03044</cdr:y>
    </cdr:from>
    <cdr:to>
      <cdr:x>0.96906</cdr:x>
      <cdr:y>0.92785</cdr:y>
    </cdr:to>
    <cdr:sp macro="" textlink="">
      <cdr:nvSpPr>
        <cdr:cNvPr id="3" name="TextBox 2"/>
        <cdr:cNvSpPr txBox="1"/>
      </cdr:nvSpPr>
      <cdr:spPr>
        <a:xfrm xmlns:a="http://schemas.openxmlformats.org/drawingml/2006/main">
          <a:off x="5408670" y="128587"/>
          <a:ext cx="2049404" cy="3790951"/>
        </a:xfrm>
        <a:prstGeom xmlns:a="http://schemas.openxmlformats.org/drawingml/2006/main" prst="rect">
          <a:avLst/>
        </a:prstGeom>
        <a:solidFill xmlns:a="http://schemas.openxmlformats.org/drawingml/2006/main">
          <a:schemeClr val="accent6">
            <a:lumMod val="20000"/>
            <a:lumOff val="80000"/>
          </a:schemeClr>
        </a:solidFill>
        <a:ln xmlns:a="http://schemas.openxmlformats.org/drawingml/2006/main">
          <a:solidFill>
            <a:schemeClr val="bg1">
              <a:lumMod val="85000"/>
            </a:schemeClr>
          </a:solidFill>
        </a:ln>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100" b="1">
              <a:effectLst/>
              <a:latin typeface="+mn-lt"/>
              <a:ea typeface="+mn-ea"/>
              <a:cs typeface="+mn-cs"/>
            </a:rPr>
            <a:t>PROPORTION BELONGING TO AN ETHNIC MINORITY</a:t>
          </a:r>
          <a:endParaRPr lang="en-GB">
            <a:effectLst/>
          </a:endParaRPr>
        </a:p>
        <a:p xmlns:a="http://schemas.openxmlformats.org/drawingml/2006/main">
          <a:endParaRPr lang="en-GB" sz="1100"/>
        </a:p>
        <a:p xmlns:a="http://schemas.openxmlformats.org/drawingml/2006/main">
          <a:endParaRPr lang="en-GB" sz="1100" b="0"/>
        </a:p>
        <a:p xmlns:a="http://schemas.openxmlformats.org/drawingml/2006/main">
          <a:endParaRPr lang="en-GB" sz="1100" b="0"/>
        </a:p>
        <a:p xmlns:a="http://schemas.openxmlformats.org/drawingml/2006/main">
          <a:r>
            <a:rPr lang="en-GB" sz="1100" b="0"/>
            <a:t>Across the city, 22.3% belong to an ethnic minority</a:t>
          </a:r>
          <a:r>
            <a:rPr lang="en-GB" sz="1100" b="0" baseline="0"/>
            <a:t> (ie. they are not 'White British' or 'White Other').  </a:t>
          </a:r>
        </a:p>
        <a:p xmlns:a="http://schemas.openxmlformats.org/drawingml/2006/main">
          <a:endParaRPr lang="en-GB" sz="1100" b="0" baseline="0"/>
        </a:p>
        <a:p xmlns:a="http://schemas.openxmlformats.org/drawingml/2006/main">
          <a:r>
            <a:rPr lang="en-GB" sz="1100" b="0" baseline="0"/>
            <a:t>In the Council, 9% of employees are BME.</a:t>
          </a:r>
        </a:p>
        <a:p xmlns:a="http://schemas.openxmlformats.org/drawingml/2006/main">
          <a:endParaRPr lang="en-GB" sz="1100" b="0" baseline="0"/>
        </a:p>
        <a:p xmlns:a="http://schemas.openxmlformats.org/drawingml/2006/main">
          <a:r>
            <a:rPr lang="en-GB" sz="1100" b="1" baseline="0">
              <a:solidFill>
                <a:srgbClr val="FF0000"/>
              </a:solidFill>
            </a:rPr>
            <a:t>This difference is statistically significant.</a:t>
          </a:r>
        </a:p>
        <a:p xmlns:a="http://schemas.openxmlformats.org/drawingml/2006/main">
          <a:endParaRPr lang="en-GB" sz="1100" b="0" baseline="0"/>
        </a:p>
        <a:p xmlns:a="http://schemas.openxmlformats.org/drawingml/2006/main">
          <a:endParaRPr lang="en-GB" sz="1100" b="1"/>
        </a:p>
      </cdr:txBody>
    </cdr:sp>
  </cdr:relSizeAnchor>
  <cdr:relSizeAnchor xmlns:cdr="http://schemas.openxmlformats.org/drawingml/2006/chartDrawing">
    <cdr:from>
      <cdr:x>0.56173</cdr:x>
      <cdr:y>0.06201</cdr:y>
    </cdr:from>
    <cdr:to>
      <cdr:x>0.97707</cdr:x>
      <cdr:y>0.92559</cdr:y>
    </cdr:to>
    <cdr:sp macro="" textlink="">
      <cdr:nvSpPr>
        <cdr:cNvPr id="4" name="TextBox 1"/>
        <cdr:cNvSpPr txBox="1"/>
      </cdr:nvSpPr>
      <cdr:spPr>
        <a:xfrm xmlns:a="http://schemas.openxmlformats.org/drawingml/2006/main">
          <a:off x="6067425" y="261938"/>
          <a:ext cx="4486275" cy="3648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solidFill>
              <a:schemeClr val="accent1"/>
            </a:solidFill>
          </a:endParaRPr>
        </a:p>
      </cdr:txBody>
    </cdr:sp>
  </cdr:relSizeAnchor>
  <cdr:relSizeAnchor xmlns:cdr="http://schemas.openxmlformats.org/drawingml/2006/chartDrawing">
    <cdr:from>
      <cdr:x>0.70277</cdr:x>
      <cdr:y>0.03044</cdr:y>
    </cdr:from>
    <cdr:to>
      <cdr:x>0.96906</cdr:x>
      <cdr:y>0.92785</cdr:y>
    </cdr:to>
    <cdr:sp macro="" textlink="">
      <cdr:nvSpPr>
        <cdr:cNvPr id="5" name="TextBox 2"/>
        <cdr:cNvSpPr txBox="1"/>
      </cdr:nvSpPr>
      <cdr:spPr>
        <a:xfrm xmlns:a="http://schemas.openxmlformats.org/drawingml/2006/main">
          <a:off x="5408670" y="128587"/>
          <a:ext cx="2049404" cy="3790951"/>
        </a:xfrm>
        <a:prstGeom xmlns:a="http://schemas.openxmlformats.org/drawingml/2006/main" prst="rect">
          <a:avLst/>
        </a:prstGeom>
        <a:solidFill xmlns:a="http://schemas.openxmlformats.org/drawingml/2006/main">
          <a:schemeClr val="bg1">
            <a:lumMod val="95000"/>
          </a:schemeClr>
        </a:solidFill>
        <a:ln xmlns:a="http://schemas.openxmlformats.org/drawingml/2006/main">
          <a:solidFill>
            <a:schemeClr val="bg1">
              <a:lumMod val="85000"/>
            </a:schemeClr>
          </a:solidFill>
        </a:ln>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400" b="1">
              <a:effectLst/>
              <a:latin typeface="+mn-lt"/>
              <a:ea typeface="+mn-ea"/>
              <a:cs typeface="+mn-cs"/>
            </a:rPr>
            <a:t>ETHNIC MINORITY</a:t>
          </a:r>
          <a:endParaRPr lang="en-GB" sz="1400">
            <a:effectLst/>
          </a:endParaRPr>
        </a:p>
        <a:p xmlns:a="http://schemas.openxmlformats.org/drawingml/2006/main">
          <a:endParaRPr lang="en-GB" sz="1100"/>
        </a:p>
        <a:p xmlns:a="http://schemas.openxmlformats.org/drawingml/2006/main">
          <a:endParaRPr lang="en-GB" sz="1100" b="0"/>
        </a:p>
        <a:p xmlns:a="http://schemas.openxmlformats.org/drawingml/2006/main">
          <a:endParaRPr lang="en-GB" sz="1100" b="0"/>
        </a:p>
        <a:p xmlns:a="http://schemas.openxmlformats.org/drawingml/2006/main">
          <a:r>
            <a:rPr lang="en-GB" sz="1100" b="0"/>
            <a:t>Across the city, 18.7% of the economically active </a:t>
          </a:r>
          <a:r>
            <a:rPr lang="en-GB" sz="1100" b="0" baseline="0"/>
            <a:t> population</a:t>
          </a:r>
          <a:r>
            <a:rPr lang="en-GB" sz="1100" b="0"/>
            <a:t> (excluding</a:t>
          </a:r>
          <a:r>
            <a:rPr lang="en-GB" sz="1100" b="0" baseline="0"/>
            <a:t> full-time students) </a:t>
          </a:r>
          <a:r>
            <a:rPr lang="en-GB" sz="1100" b="0"/>
            <a:t>belong to an ethnic minority,</a:t>
          </a:r>
          <a:r>
            <a:rPr lang="en-GB" sz="1100" b="0" baseline="0"/>
            <a:t> ie. they are not 'White British' or 'White Other'.  </a:t>
          </a:r>
        </a:p>
        <a:p xmlns:a="http://schemas.openxmlformats.org/drawingml/2006/main">
          <a:endParaRPr lang="en-GB" sz="1100" b="0" baseline="0"/>
        </a:p>
        <a:p xmlns:a="http://schemas.openxmlformats.org/drawingml/2006/main">
          <a:r>
            <a:rPr lang="en-GB" sz="1100" b="0" baseline="0"/>
            <a:t>In the Council, 9% of employees are BME.</a:t>
          </a:r>
        </a:p>
        <a:p xmlns:a="http://schemas.openxmlformats.org/drawingml/2006/main">
          <a:endParaRPr lang="en-GB" sz="1100" b="0" baseline="0"/>
        </a:p>
        <a:p xmlns:a="http://schemas.openxmlformats.org/drawingml/2006/main">
          <a:r>
            <a:rPr lang="en-GB" sz="1100" b="1" baseline="0">
              <a:solidFill>
                <a:srgbClr val="FF0000"/>
              </a:solidFill>
            </a:rPr>
            <a:t>This difference is statistically significant.  </a:t>
          </a:r>
          <a:r>
            <a:rPr lang="en-GB" sz="1100" b="0" baseline="0">
              <a:solidFill>
                <a:sysClr val="windowText" lastClr="000000"/>
              </a:solidFill>
            </a:rPr>
            <a:t>Significance occurs below the pink dotted line.</a:t>
          </a:r>
        </a:p>
        <a:p xmlns:a="http://schemas.openxmlformats.org/drawingml/2006/main">
          <a:endParaRPr lang="en-GB" sz="1100" b="0" baseline="0"/>
        </a:p>
        <a:p xmlns:a="http://schemas.openxmlformats.org/drawingml/2006/main">
          <a:endParaRPr lang="en-GB" sz="1100" b="1"/>
        </a:p>
      </cdr:txBody>
    </cdr:sp>
  </cdr:relSizeAnchor>
  <cdr:relSizeAnchor xmlns:cdr="http://schemas.openxmlformats.org/drawingml/2006/chartDrawing">
    <cdr:from>
      <cdr:x>0.06188</cdr:x>
      <cdr:y>0.26043</cdr:y>
    </cdr:from>
    <cdr:to>
      <cdr:x>0.66832</cdr:x>
      <cdr:y>0.26043</cdr:y>
    </cdr:to>
    <cdr:cxnSp macro="">
      <cdr:nvCxnSpPr>
        <cdr:cNvPr id="6" name="Straight Connector 5"/>
        <cdr:cNvCxnSpPr/>
      </cdr:nvCxnSpPr>
      <cdr:spPr>
        <a:xfrm xmlns:a="http://schemas.openxmlformats.org/drawingml/2006/main" flipV="1">
          <a:off x="476223" y="1100148"/>
          <a:ext cx="4667283" cy="0"/>
        </a:xfrm>
        <a:prstGeom xmlns:a="http://schemas.openxmlformats.org/drawingml/2006/main" prst="line">
          <a:avLst/>
        </a:prstGeom>
        <a:ln xmlns:a="http://schemas.openxmlformats.org/drawingml/2006/main" w="6350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0.36386</cdr:x>
      <cdr:y>0.15408</cdr:y>
    </cdr:from>
    <cdr:to>
      <cdr:x>0.66831</cdr:x>
      <cdr:y>0.26043</cdr:y>
    </cdr:to>
    <cdr:sp macro="" textlink="">
      <cdr:nvSpPr>
        <cdr:cNvPr id="8" name="TextBox 1"/>
        <cdr:cNvSpPr txBox="1"/>
      </cdr:nvSpPr>
      <cdr:spPr>
        <a:xfrm xmlns:a="http://schemas.openxmlformats.org/drawingml/2006/main">
          <a:off x="2800350" y="650885"/>
          <a:ext cx="2343124" cy="4492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1100" b="1">
              <a:solidFill>
                <a:schemeClr val="accent2"/>
              </a:solidFill>
            </a:rPr>
            <a:t>Red line = 'Economically</a:t>
          </a:r>
          <a:r>
            <a:rPr lang="en-GB" sz="1100" b="1" baseline="0">
              <a:solidFill>
                <a:schemeClr val="accent2"/>
              </a:solidFill>
            </a:rPr>
            <a:t> active, not full-time students'; </a:t>
          </a:r>
          <a:r>
            <a:rPr lang="en-GB" sz="1100" b="1">
              <a:solidFill>
                <a:schemeClr val="accent2"/>
              </a:solidFill>
            </a:rPr>
            <a:t>Census 2011</a:t>
          </a:r>
        </a:p>
      </cdr:txBody>
    </cdr:sp>
  </cdr:relSizeAnchor>
  <cdr:relSizeAnchor xmlns:cdr="http://schemas.openxmlformats.org/drawingml/2006/chartDrawing">
    <cdr:from>
      <cdr:x>0.06106</cdr:x>
      <cdr:y>0.20594</cdr:y>
    </cdr:from>
    <cdr:to>
      <cdr:x>0.13738</cdr:x>
      <cdr:y>0.29425</cdr:y>
    </cdr:to>
    <cdr:sp macro="" textlink="">
      <cdr:nvSpPr>
        <cdr:cNvPr id="10" name="TextBox 1"/>
        <cdr:cNvSpPr txBox="1"/>
      </cdr:nvSpPr>
      <cdr:spPr>
        <a:xfrm xmlns:a="http://schemas.openxmlformats.org/drawingml/2006/main">
          <a:off x="469915" y="869964"/>
          <a:ext cx="587374" cy="3730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solidFill>
            </a:rPr>
            <a:t>18.7%</a:t>
          </a:r>
        </a:p>
      </cdr:txBody>
    </cdr:sp>
  </cdr:relSizeAnchor>
  <cdr:relSizeAnchor xmlns:cdr="http://schemas.openxmlformats.org/drawingml/2006/chartDrawing">
    <cdr:from>
      <cdr:x>0.06312</cdr:x>
      <cdr:y>0.32807</cdr:y>
    </cdr:from>
    <cdr:to>
      <cdr:x>0.66336</cdr:x>
      <cdr:y>0.33033</cdr:y>
    </cdr:to>
    <cdr:cxnSp macro="">
      <cdr:nvCxnSpPr>
        <cdr:cNvPr id="9" name="Straight Connector 8"/>
        <cdr:cNvCxnSpPr/>
      </cdr:nvCxnSpPr>
      <cdr:spPr>
        <a:xfrm xmlns:a="http://schemas.openxmlformats.org/drawingml/2006/main" flipV="1">
          <a:off x="485774" y="1385869"/>
          <a:ext cx="4619596" cy="9544"/>
        </a:xfrm>
        <a:prstGeom xmlns:a="http://schemas.openxmlformats.org/drawingml/2006/main" prst="line">
          <a:avLst/>
        </a:prstGeom>
        <a:ln xmlns:a="http://schemas.openxmlformats.org/drawingml/2006/main" w="28575">
          <a:solidFill>
            <a:schemeClr val="accent2">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0.06189</cdr:x>
      <cdr:y>0.31868</cdr:y>
    </cdr:from>
    <cdr:to>
      <cdr:x>0.14192</cdr:x>
      <cdr:y>0.407</cdr:y>
    </cdr:to>
    <cdr:sp macro="" textlink="">
      <cdr:nvSpPr>
        <cdr:cNvPr id="11" name="TextBox 1"/>
        <cdr:cNvSpPr txBox="1"/>
      </cdr:nvSpPr>
      <cdr:spPr>
        <a:xfrm xmlns:a="http://schemas.openxmlformats.org/drawingml/2006/main">
          <a:off x="476285" y="1346205"/>
          <a:ext cx="615927" cy="3730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lumMod val="60000"/>
                  <a:lumOff val="40000"/>
                </a:schemeClr>
              </a:solidFill>
            </a:rPr>
            <a:t>16.7%</a:t>
          </a:r>
        </a:p>
      </cdr:txBody>
    </cdr:sp>
  </cdr:relSizeAnchor>
</c:userShapes>
</file>

<file path=word/drawings/drawing3.xml><?xml version="1.0" encoding="utf-8"?>
<c:userShapes xmlns:c="http://schemas.openxmlformats.org/drawingml/2006/chart">
  <cdr:relSizeAnchor xmlns:cdr="http://schemas.openxmlformats.org/drawingml/2006/chartDrawing">
    <cdr:from>
      <cdr:x>0.19058</cdr:x>
      <cdr:y>0.74741</cdr:y>
    </cdr:from>
    <cdr:to>
      <cdr:x>0.42513</cdr:x>
      <cdr:y>0.8481</cdr:y>
    </cdr:to>
    <cdr:sp macro="" textlink="">
      <cdr:nvSpPr>
        <cdr:cNvPr id="2" name="Freeform 1"/>
        <cdr:cNvSpPr/>
      </cdr:nvSpPr>
      <cdr:spPr>
        <a:xfrm xmlns:a="http://schemas.openxmlformats.org/drawingml/2006/main">
          <a:off x="2034902" y="3281887"/>
          <a:ext cx="2504438" cy="442133"/>
        </a:xfrm>
        <a:custGeom xmlns:a="http://schemas.openxmlformats.org/drawingml/2006/main">
          <a:avLst/>
          <a:gdLst>
            <a:gd name="connsiteX0" fmla="*/ 0 w 1428750"/>
            <a:gd name="connsiteY0" fmla="*/ 0 h 276225"/>
            <a:gd name="connsiteX1" fmla="*/ 352425 w 1428750"/>
            <a:gd name="connsiteY1" fmla="*/ 123825 h 276225"/>
            <a:gd name="connsiteX2" fmla="*/ 1171575 w 1428750"/>
            <a:gd name="connsiteY2" fmla="*/ 142875 h 276225"/>
            <a:gd name="connsiteX3" fmla="*/ 1428750 w 1428750"/>
            <a:gd name="connsiteY3" fmla="*/ 276225 h 276225"/>
          </a:gdLst>
          <a:ahLst/>
          <a:cxnLst>
            <a:cxn ang="0">
              <a:pos x="connsiteX0" y="connsiteY0"/>
            </a:cxn>
            <a:cxn ang="0">
              <a:pos x="connsiteX1" y="connsiteY1"/>
            </a:cxn>
            <a:cxn ang="0">
              <a:pos x="connsiteX2" y="connsiteY2"/>
            </a:cxn>
            <a:cxn ang="0">
              <a:pos x="connsiteX3" y="connsiteY3"/>
            </a:cxn>
          </a:cxnLst>
          <a:rect l="l" t="t" r="r" b="b"/>
          <a:pathLst>
            <a:path w="1428750" h="276225">
              <a:moveTo>
                <a:pt x="0" y="0"/>
              </a:moveTo>
              <a:cubicBezTo>
                <a:pt x="78581" y="50006"/>
                <a:pt x="157163" y="100013"/>
                <a:pt x="352425" y="123825"/>
              </a:cubicBezTo>
              <a:cubicBezTo>
                <a:pt x="547687" y="147637"/>
                <a:pt x="992188" y="117475"/>
                <a:pt x="1171575" y="142875"/>
              </a:cubicBezTo>
              <a:cubicBezTo>
                <a:pt x="1350963" y="168275"/>
                <a:pt x="1411288" y="265113"/>
                <a:pt x="1428750" y="276225"/>
              </a:cubicBezTo>
            </a:path>
          </a:pathLst>
        </a:cu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0.4229</cdr:x>
      <cdr:y>0.74683</cdr:y>
    </cdr:from>
    <cdr:to>
      <cdr:x>0.65745</cdr:x>
      <cdr:y>0.84752</cdr:y>
    </cdr:to>
    <cdr:sp macro="" textlink="">
      <cdr:nvSpPr>
        <cdr:cNvPr id="3" name="Freeform 2"/>
        <cdr:cNvSpPr/>
      </cdr:nvSpPr>
      <cdr:spPr>
        <a:xfrm xmlns:a="http://schemas.openxmlformats.org/drawingml/2006/main">
          <a:off x="4515487" y="3279341"/>
          <a:ext cx="2504438" cy="442132"/>
        </a:xfrm>
        <a:custGeom xmlns:a="http://schemas.openxmlformats.org/drawingml/2006/main">
          <a:avLst/>
          <a:gdLst>
            <a:gd name="connsiteX0" fmla="*/ 0 w 1428750"/>
            <a:gd name="connsiteY0" fmla="*/ 0 h 276225"/>
            <a:gd name="connsiteX1" fmla="*/ 352425 w 1428750"/>
            <a:gd name="connsiteY1" fmla="*/ 123825 h 276225"/>
            <a:gd name="connsiteX2" fmla="*/ 1171575 w 1428750"/>
            <a:gd name="connsiteY2" fmla="*/ 142875 h 276225"/>
            <a:gd name="connsiteX3" fmla="*/ 1428750 w 1428750"/>
            <a:gd name="connsiteY3" fmla="*/ 276225 h 276225"/>
          </a:gdLst>
          <a:ahLst/>
          <a:cxnLst>
            <a:cxn ang="0">
              <a:pos x="connsiteX0" y="connsiteY0"/>
            </a:cxn>
            <a:cxn ang="0">
              <a:pos x="connsiteX1" y="connsiteY1"/>
            </a:cxn>
            <a:cxn ang="0">
              <a:pos x="connsiteX2" y="connsiteY2"/>
            </a:cxn>
            <a:cxn ang="0">
              <a:pos x="connsiteX3" y="connsiteY3"/>
            </a:cxn>
          </a:cxnLst>
          <a:rect l="l" t="t" r="r" b="b"/>
          <a:pathLst>
            <a:path w="1428750" h="276225">
              <a:moveTo>
                <a:pt x="0" y="0"/>
              </a:moveTo>
              <a:cubicBezTo>
                <a:pt x="78581" y="50006"/>
                <a:pt x="157163" y="100013"/>
                <a:pt x="352425" y="123825"/>
              </a:cubicBezTo>
              <a:cubicBezTo>
                <a:pt x="547687" y="147637"/>
                <a:pt x="992188" y="117475"/>
                <a:pt x="1171575" y="142875"/>
              </a:cubicBezTo>
              <a:cubicBezTo>
                <a:pt x="1350963" y="168275"/>
                <a:pt x="1411288" y="265113"/>
                <a:pt x="1428750" y="276225"/>
              </a:cubicBezTo>
            </a:path>
          </a:pathLst>
        </a:custGeom>
        <a:noFill xmlns:a="http://schemas.openxmlformats.org/drawingml/2006/main"/>
        <a:scene3d xmlns:a="http://schemas.openxmlformats.org/drawingml/2006/main">
          <a:camera prst="orthographicFront">
            <a:rot lat="0" lon="10800000" rev="0"/>
          </a:camera>
          <a:lightRig rig="threePt" dir="t"/>
        </a:scene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0.10974</cdr:x>
      <cdr:y>0.86768</cdr:y>
    </cdr:from>
    <cdr:to>
      <cdr:x>0.94513</cdr:x>
      <cdr:y>0.9718</cdr:y>
    </cdr:to>
    <cdr:sp macro="" textlink="">
      <cdr:nvSpPr>
        <cdr:cNvPr id="4" name="TextBox 3"/>
        <cdr:cNvSpPr txBox="1"/>
      </cdr:nvSpPr>
      <cdr:spPr>
        <a:xfrm xmlns:a="http://schemas.openxmlformats.org/drawingml/2006/main">
          <a:off x="933450" y="3049657"/>
          <a:ext cx="7105650" cy="365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100" i="1"/>
            <a:t>                       These four categories count as 'Black &amp; Minority Ethnic'   	 (Census</a:t>
          </a:r>
          <a:r>
            <a:rPr lang="en-GB" sz="1100" i="1" baseline="0"/>
            <a:t> 18.7%, council employees 9%)</a:t>
          </a:r>
        </a:p>
      </cdr:txBody>
    </cdr:sp>
  </cdr:relSizeAnchor>
  <cdr:relSizeAnchor xmlns:cdr="http://schemas.openxmlformats.org/drawingml/2006/chartDrawing">
    <cdr:from>
      <cdr:x>0.74058</cdr:x>
      <cdr:y>0.12781</cdr:y>
    </cdr:from>
    <cdr:to>
      <cdr:x>0.89847</cdr:x>
      <cdr:y>0.24163</cdr:y>
    </cdr:to>
    <cdr:pic>
      <cdr:nvPicPr>
        <cdr:cNvPr id="5" name="Picture 4"/>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299211" y="449203"/>
          <a:ext cx="1342993" cy="400069"/>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0.68676</cdr:x>
      <cdr:y>0.50256</cdr:y>
    </cdr:from>
    <cdr:to>
      <cdr:x>0.87707</cdr:x>
      <cdr:y>0.58259</cdr:y>
    </cdr:to>
    <cdr:sp macro="" textlink="">
      <cdr:nvSpPr>
        <cdr:cNvPr id="2" name="TextBox 1"/>
        <cdr:cNvSpPr txBox="1"/>
      </cdr:nvSpPr>
      <cdr:spPr>
        <a:xfrm xmlns:a="http://schemas.openxmlformats.org/drawingml/2006/main">
          <a:off x="5534024" y="2144524"/>
          <a:ext cx="1533525" cy="3415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1200" b="1">
              <a:solidFill>
                <a:schemeClr val="accent1"/>
              </a:solidFill>
            </a:rPr>
            <a:t>Council employees</a:t>
          </a:r>
        </a:p>
      </cdr:txBody>
    </cdr:sp>
  </cdr:relSizeAnchor>
  <cdr:relSizeAnchor xmlns:cdr="http://schemas.openxmlformats.org/drawingml/2006/chartDrawing">
    <cdr:from>
      <cdr:x>0.52364</cdr:x>
      <cdr:y>0.27873</cdr:y>
    </cdr:from>
    <cdr:to>
      <cdr:x>0.70319</cdr:x>
      <cdr:y>0.36161</cdr:y>
    </cdr:to>
    <cdr:sp macro="" textlink="">
      <cdr:nvSpPr>
        <cdr:cNvPr id="3" name="TextBox 1"/>
        <cdr:cNvSpPr txBox="1"/>
      </cdr:nvSpPr>
      <cdr:spPr>
        <a:xfrm xmlns:a="http://schemas.openxmlformats.org/drawingml/2006/main">
          <a:off x="4219575" y="1189397"/>
          <a:ext cx="1446835" cy="3536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1200" b="1">
              <a:solidFill>
                <a:schemeClr val="accent2"/>
              </a:solidFill>
            </a:rPr>
            <a:t>National workforce</a:t>
          </a:r>
        </a:p>
      </cdr:txBody>
    </cdr:sp>
  </cdr:relSizeAnchor>
  <cdr:relSizeAnchor xmlns:cdr="http://schemas.openxmlformats.org/drawingml/2006/chartDrawing">
    <cdr:from>
      <cdr:x>0.01855</cdr:x>
      <cdr:y>0.02644</cdr:y>
    </cdr:from>
    <cdr:to>
      <cdr:x>0.41166</cdr:x>
      <cdr:y>0.95495</cdr:y>
    </cdr:to>
    <cdr:sp macro="" textlink="">
      <cdr:nvSpPr>
        <cdr:cNvPr id="4" name="TextBox 2"/>
        <cdr:cNvSpPr txBox="1"/>
      </cdr:nvSpPr>
      <cdr:spPr>
        <a:xfrm xmlns:a="http://schemas.openxmlformats.org/drawingml/2006/main">
          <a:off x="200024" y="128589"/>
          <a:ext cx="4238625" cy="4514849"/>
        </a:xfrm>
        <a:prstGeom xmlns:a="http://schemas.openxmlformats.org/drawingml/2006/main" prst="rect">
          <a:avLst/>
        </a:prstGeom>
        <a:solidFill xmlns:a="http://schemas.openxmlformats.org/drawingml/2006/main">
          <a:schemeClr val="bg1">
            <a:lumMod val="85000"/>
          </a:schemeClr>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600" b="1"/>
            <a:t>Age Distribution</a:t>
          </a:r>
        </a:p>
        <a:p xmlns:a="http://schemas.openxmlformats.org/drawingml/2006/main">
          <a:endParaRPr lang="en-GB" sz="1200" b="1"/>
        </a:p>
        <a:p xmlns:a="http://schemas.openxmlformats.org/drawingml/2006/main">
          <a:endParaRPr lang="en-GB" sz="1200" b="0"/>
        </a:p>
        <a:p xmlns:a="http://schemas.openxmlformats.org/drawingml/2006/main">
          <a:r>
            <a:rPr lang="en-GB" sz="1200" b="0"/>
            <a:t>The age</a:t>
          </a:r>
          <a:r>
            <a:rPr lang="en-GB" sz="1200" b="0" baseline="0"/>
            <a:t> distribution at the council is much the same as nationally.  However:</a:t>
          </a:r>
        </a:p>
        <a:p xmlns:a="http://schemas.openxmlformats.org/drawingml/2006/main">
          <a:endParaRPr lang="en-GB" sz="1200" b="0" baseline="0"/>
        </a:p>
        <a:p xmlns:a="http://schemas.openxmlformats.org/drawingml/2006/main">
          <a:r>
            <a:rPr lang="en-GB" sz="1200" b="0" baseline="0"/>
            <a:t>(a) there are fewer than expected young people (5.6% are aged under 25, as opposed to 11.7% nationally)</a:t>
          </a:r>
        </a:p>
        <a:p xmlns:a="http://schemas.openxmlformats.org/drawingml/2006/main">
          <a:endParaRPr lang="en-GB" sz="1200" b="0" baseline="0"/>
        </a:p>
        <a:p xmlns:a="http://schemas.openxmlformats.org/drawingml/2006/main">
          <a:r>
            <a:rPr lang="en-GB" sz="1200" b="0" baseline="0"/>
            <a:t>(b) there are more than expected older people (37.8% are aged 50-64, as opposed to 27.6% nationally)</a:t>
          </a:r>
        </a:p>
        <a:p xmlns:a="http://schemas.openxmlformats.org/drawingml/2006/main">
          <a:endParaRPr lang="en-GB" sz="1200" b="0" baseline="0"/>
        </a:p>
        <a:p xmlns:a="http://schemas.openxmlformats.org/drawingml/2006/main">
          <a:r>
            <a:rPr lang="en-GB" sz="1200" b="0" baseline="0"/>
            <a:t>(c) there are fewer than expected people aged 65+ (1.4%, as opposed to 3.7% nationally).</a:t>
          </a:r>
        </a:p>
        <a:p xmlns:a="http://schemas.openxmlformats.org/drawingml/2006/main">
          <a:endParaRPr lang="en-GB" sz="1200" b="0" baseline="0"/>
        </a:p>
      </cdr:txBody>
    </cdr:sp>
  </cdr:relSizeAnchor>
  <cdr:relSizeAnchor xmlns:cdr="http://schemas.openxmlformats.org/drawingml/2006/chartDrawing">
    <cdr:from>
      <cdr:x>0.8749</cdr:x>
      <cdr:y>0.09056</cdr:y>
    </cdr:from>
    <cdr:to>
      <cdr:x>0.96368</cdr:x>
      <cdr:y>0.16802</cdr:y>
    </cdr:to>
    <cdr:sp macro="" textlink="">
      <cdr:nvSpPr>
        <cdr:cNvPr id="6" name="Down Arrow 5"/>
        <cdr:cNvSpPr/>
      </cdr:nvSpPr>
      <cdr:spPr>
        <a:xfrm xmlns:a="http://schemas.openxmlformats.org/drawingml/2006/main" rot="6489290">
          <a:off x="9723746" y="150079"/>
          <a:ext cx="376637" cy="957158"/>
        </a:xfrm>
        <a:prstGeom xmlns:a="http://schemas.openxmlformats.org/drawingml/2006/main" prst="downArrow">
          <a:avLst/>
        </a:prstGeom>
        <a:solidFill xmlns:a="http://schemas.openxmlformats.org/drawingml/2006/main">
          <a:srgbClr val="FFFF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0.60895</cdr:x>
      <cdr:y>0.75286</cdr:y>
    </cdr:from>
    <cdr:to>
      <cdr:x>0.69772</cdr:x>
      <cdr:y>0.83031</cdr:y>
    </cdr:to>
    <cdr:sp macro="" textlink="">
      <cdr:nvSpPr>
        <cdr:cNvPr id="7" name="Down Arrow 6"/>
        <cdr:cNvSpPr/>
      </cdr:nvSpPr>
      <cdr:spPr>
        <a:xfrm xmlns:a="http://schemas.openxmlformats.org/drawingml/2006/main" rot="5019846">
          <a:off x="6856159" y="3370515"/>
          <a:ext cx="376637" cy="957158"/>
        </a:xfrm>
        <a:prstGeom xmlns:a="http://schemas.openxmlformats.org/drawingml/2006/main" prst="downArrow">
          <a:avLst/>
        </a:prstGeom>
        <a:solidFill xmlns:a="http://schemas.openxmlformats.org/drawingml/2006/main">
          <a:srgbClr val="FFFF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0.85453</cdr:x>
      <cdr:y>0.79399</cdr:y>
    </cdr:from>
    <cdr:to>
      <cdr:x>0.94331</cdr:x>
      <cdr:y>0.87145</cdr:y>
    </cdr:to>
    <cdr:sp macro="" textlink="">
      <cdr:nvSpPr>
        <cdr:cNvPr id="8" name="Down Arrow 7"/>
        <cdr:cNvSpPr/>
      </cdr:nvSpPr>
      <cdr:spPr>
        <a:xfrm xmlns:a="http://schemas.openxmlformats.org/drawingml/2006/main" rot="18150116">
          <a:off x="9504110" y="3570539"/>
          <a:ext cx="376637" cy="957158"/>
        </a:xfrm>
        <a:prstGeom xmlns:a="http://schemas.openxmlformats.org/drawingml/2006/main" prst="downArrow">
          <a:avLst/>
        </a:prstGeom>
        <a:solidFill xmlns:a="http://schemas.openxmlformats.org/drawingml/2006/main">
          <a:srgbClr val="FFFF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0.01426</cdr:x>
      <cdr:y>0.05217</cdr:y>
    </cdr:from>
    <cdr:to>
      <cdr:x>0.29802</cdr:x>
      <cdr:y>0.95519</cdr:y>
    </cdr:to>
    <cdr:sp macro="" textlink="">
      <cdr:nvSpPr>
        <cdr:cNvPr id="2" name="TextBox 1"/>
        <cdr:cNvSpPr txBox="1"/>
      </cdr:nvSpPr>
      <cdr:spPr>
        <a:xfrm xmlns:a="http://schemas.openxmlformats.org/drawingml/2006/main">
          <a:off x="116674" y="210694"/>
          <a:ext cx="2321725" cy="3646931"/>
        </a:xfrm>
        <a:prstGeom xmlns:a="http://schemas.openxmlformats.org/drawingml/2006/main" prst="rect">
          <a:avLst/>
        </a:prstGeom>
        <a:solidFill xmlns:a="http://schemas.openxmlformats.org/drawingml/2006/main">
          <a:schemeClr val="bg1">
            <a:lumMod val="85000"/>
          </a:schemeClr>
        </a:solidFill>
      </cdr:spPr>
      <cdr:txBody>
        <a:bodyPr xmlns:a="http://schemas.openxmlformats.org/drawingml/2006/main" vertOverflow="clip" wrap="square" rtlCol="0"/>
        <a:lstStyle xmlns:a="http://schemas.openxmlformats.org/drawingml/2006/main"/>
        <a:p xmlns:a="http://schemas.openxmlformats.org/drawingml/2006/main">
          <a:r>
            <a:rPr lang="en-GB" sz="1400" b="1"/>
            <a:t>Ethnic</a:t>
          </a:r>
          <a:r>
            <a:rPr lang="en-GB" sz="1400" b="1" baseline="0"/>
            <a:t> Minorities vs Age</a:t>
          </a:r>
        </a:p>
        <a:p xmlns:a="http://schemas.openxmlformats.org/drawingml/2006/main">
          <a:endParaRPr lang="en-GB" sz="1200" b="1" baseline="0"/>
        </a:p>
        <a:p xmlns:a="http://schemas.openxmlformats.org/drawingml/2006/main">
          <a:r>
            <a:rPr lang="en-GB" sz="1200" b="0" baseline="0"/>
            <a:t>This graph shows the proportion of council employees who are BAME, compared to the proportion of those economically active in Oxford.  (Eg between ages 25 and 49: 21.8% of the Oxford economically active are BAME, compared to 10.0% BAME in the council)</a:t>
          </a:r>
        </a:p>
        <a:p xmlns:a="http://schemas.openxmlformats.org/drawingml/2006/main">
          <a:endParaRPr lang="en-GB" sz="1200" b="0" baseline="0"/>
        </a:p>
        <a:p xmlns:a="http://schemas.openxmlformats.org/drawingml/2006/main">
          <a:r>
            <a:rPr lang="en-GB" sz="1200" b="0" baseline="0"/>
            <a:t>NOTE: Full-time students and the economically inactive have been excluded from analysis.  </a:t>
          </a:r>
        </a:p>
        <a:p xmlns:a="http://schemas.openxmlformats.org/drawingml/2006/main">
          <a:endParaRPr lang="en-GB" sz="1200" b="0" baseline="0"/>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100" i="1" baseline="0">
              <a:effectLst/>
              <a:latin typeface="+mn-lt"/>
              <a:ea typeface="+mn-ea"/>
              <a:cs typeface="+mn-cs"/>
            </a:rPr>
            <a:t>Source: Census 2011, Table DC6201EW</a:t>
          </a:r>
          <a:endParaRPr lang="en-GB" sz="1200">
            <a:effectLst/>
          </a:endParaRPr>
        </a:p>
        <a:p xmlns:a="http://schemas.openxmlformats.org/drawingml/2006/main">
          <a:endParaRPr lang="en-GB" sz="1200" b="0" baseline="0"/>
        </a:p>
      </cdr:txBody>
    </cdr:sp>
  </cdr:relSizeAnchor>
</c:userShapes>
</file>

<file path=word/drawings/drawing6.xml><?xml version="1.0" encoding="utf-8"?>
<c:userShapes xmlns:c="http://schemas.openxmlformats.org/drawingml/2006/chart">
  <cdr:relSizeAnchor xmlns:cdr="http://schemas.openxmlformats.org/drawingml/2006/chartDrawing">
    <cdr:from>
      <cdr:x>0.02625</cdr:x>
      <cdr:y>0.03135</cdr:y>
    </cdr:from>
    <cdr:to>
      <cdr:x>0.34</cdr:x>
      <cdr:y>0.93946</cdr:y>
    </cdr:to>
    <cdr:sp macro="" textlink="">
      <cdr:nvSpPr>
        <cdr:cNvPr id="2" name="TextBox 1"/>
        <cdr:cNvSpPr txBox="1"/>
      </cdr:nvSpPr>
      <cdr:spPr>
        <a:xfrm xmlns:a="http://schemas.openxmlformats.org/drawingml/2006/main">
          <a:off x="200025" y="138107"/>
          <a:ext cx="2390775" cy="4000508"/>
        </a:xfrm>
        <a:prstGeom xmlns:a="http://schemas.openxmlformats.org/drawingml/2006/main" prst="rect">
          <a:avLst/>
        </a:prstGeom>
        <a:solidFill xmlns:a="http://schemas.openxmlformats.org/drawingml/2006/main">
          <a:schemeClr val="bg1">
            <a:lumMod val="95000"/>
          </a:schemeClr>
        </a:solidFill>
        <a:ln xmlns:a="http://schemas.openxmlformats.org/drawingml/2006/main">
          <a:solidFill>
            <a:schemeClr val="bg1">
              <a:lumMod val="75000"/>
            </a:schemeClr>
          </a:solidFill>
        </a:ln>
      </cdr:spPr>
      <cdr:txBody>
        <a:bodyPr xmlns:a="http://schemas.openxmlformats.org/drawingml/2006/main" vertOverflow="clip" wrap="square" rtlCol="0"/>
        <a:lstStyle xmlns:a="http://schemas.openxmlformats.org/drawingml/2006/main"/>
        <a:p xmlns:a="http://schemas.openxmlformats.org/drawingml/2006/main">
          <a:r>
            <a:rPr lang="en-GB" sz="1400" b="1" u="none"/>
            <a:t>DISABILITY</a:t>
          </a:r>
          <a:endParaRPr lang="en-GB" sz="1100" b="1" u="none"/>
        </a:p>
        <a:p xmlns:a="http://schemas.openxmlformats.org/drawingml/2006/main">
          <a:endParaRPr lang="en-GB" sz="1100" b="1" u="none"/>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100" b="0" u="none" baseline="0"/>
            <a:t>The Census asks individuals if </a:t>
          </a:r>
          <a:r>
            <a:rPr lang="en-GB" sz="1100" b="0" baseline="0">
              <a:effectLst/>
              <a:latin typeface="+mn-lt"/>
              <a:ea typeface="+mn-ea"/>
              <a:cs typeface="+mn-cs"/>
            </a:rPr>
            <a:t>their activities are long-term limited by health or disability .  </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GB" sz="1100" b="0" baseline="0">
            <a:effectLst/>
            <a:latin typeface="+mn-lt"/>
            <a:ea typeface="+mn-ea"/>
            <a:cs typeface="+mn-cs"/>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100" b="0" baseline="0">
              <a:effectLst/>
              <a:latin typeface="+mn-lt"/>
              <a:ea typeface="+mn-ea"/>
              <a:cs typeface="+mn-cs"/>
            </a:rPr>
            <a:t>* Of Oxford residents who are </a:t>
          </a:r>
          <a:r>
            <a:rPr lang="en-GB" sz="1100" b="0" u="none" baseline="0"/>
            <a:t>are economically active (and not full-time students), 6.7% self-reported as limited in this way.</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GB" sz="1100" b="0" u="none" baseline="0"/>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100" b="0" u="none" baseline="0"/>
            <a:t>* Of Oxford residents aged 16-64, 8.9% self-reported as limited in this way.</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GB" sz="1100" b="0" u="none" baseline="0">
            <a:solidFill>
              <a:sysClr val="windowText" lastClr="000000"/>
            </a:solidFill>
            <a:effectLst/>
            <a:latin typeface="+mn-lt"/>
            <a:ea typeface="+mn-ea"/>
            <a:cs typeface="+mn-cs"/>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GB" sz="1100" b="0" baseline="0">
            <a:solidFill>
              <a:sysClr val="windowText" lastClr="000000"/>
            </a:solidFill>
            <a:effectLst/>
            <a:latin typeface="+mn-lt"/>
            <a:ea typeface="+mn-ea"/>
            <a:cs typeface="+mn-cs"/>
          </a:endParaRPr>
        </a:p>
        <a:p xmlns:a="http://schemas.openxmlformats.org/drawingml/2006/main">
          <a:r>
            <a:rPr lang="en-GB" sz="1100" b="0" i="1" u="none"/>
            <a:t>Source: Census 2011,</a:t>
          </a:r>
          <a:r>
            <a:rPr lang="en-GB" sz="1100" b="0" i="1" u="none" baseline="0"/>
            <a:t> Table DC3201EW &amp; DC6302EW</a:t>
          </a:r>
          <a:endParaRPr lang="en-GB" sz="1100" b="0" i="1" u="none"/>
        </a:p>
      </cdr:txBody>
    </cdr:sp>
  </cdr:relSizeAnchor>
  <cdr:relSizeAnchor xmlns:cdr="http://schemas.openxmlformats.org/drawingml/2006/chartDrawing">
    <cdr:from>
      <cdr:x>0.395</cdr:x>
      <cdr:y>0.33405</cdr:y>
    </cdr:from>
    <cdr:to>
      <cdr:x>0.98</cdr:x>
      <cdr:y>0.33405</cdr:y>
    </cdr:to>
    <cdr:cxnSp macro="">
      <cdr:nvCxnSpPr>
        <cdr:cNvPr id="4" name="Straight Connector 3"/>
        <cdr:cNvCxnSpPr/>
      </cdr:nvCxnSpPr>
      <cdr:spPr>
        <a:xfrm xmlns:a="http://schemas.openxmlformats.org/drawingml/2006/main" flipV="1">
          <a:off x="3009900" y="1471596"/>
          <a:ext cx="4457700" cy="18"/>
        </a:xfrm>
        <a:prstGeom xmlns:a="http://schemas.openxmlformats.org/drawingml/2006/main" prst="line">
          <a:avLst/>
        </a:prstGeom>
        <a:ln xmlns:a="http://schemas.openxmlformats.org/drawingml/2006/main" w="6350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0.75125</cdr:x>
      <cdr:y>0.34234</cdr:y>
    </cdr:from>
    <cdr:to>
      <cdr:x>0.9775</cdr:x>
      <cdr:y>0.44432</cdr:y>
    </cdr:to>
    <cdr:sp macro="" textlink="">
      <cdr:nvSpPr>
        <cdr:cNvPr id="8" name="TextBox 1"/>
        <cdr:cNvSpPr txBox="1"/>
      </cdr:nvSpPr>
      <cdr:spPr>
        <a:xfrm xmlns:a="http://schemas.openxmlformats.org/drawingml/2006/main">
          <a:off x="5724526" y="1508112"/>
          <a:ext cx="1724024" cy="449277"/>
        </a:xfrm>
        <a:prstGeom xmlns:a="http://schemas.openxmlformats.org/drawingml/2006/main" prst="rect">
          <a:avLst/>
        </a:prstGeom>
        <a:solidFill xmlns:a="http://schemas.openxmlformats.org/drawingml/2006/main">
          <a:schemeClr val="bg1">
            <a:alpha val="54000"/>
          </a:schemeClr>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1100" b="1">
              <a:solidFill>
                <a:schemeClr val="accent2"/>
              </a:solidFill>
            </a:rPr>
            <a:t>Red line = Census 2011 </a:t>
          </a:r>
        </a:p>
        <a:p xmlns:a="http://schemas.openxmlformats.org/drawingml/2006/main">
          <a:pPr algn="r"/>
          <a:r>
            <a:rPr lang="en-GB" sz="1100" b="1">
              <a:solidFill>
                <a:schemeClr val="accent2"/>
              </a:solidFill>
            </a:rPr>
            <a:t>(economically</a:t>
          </a:r>
          <a:r>
            <a:rPr lang="en-GB" sz="1100" b="1" baseline="0">
              <a:solidFill>
                <a:schemeClr val="accent2"/>
              </a:solidFill>
            </a:rPr>
            <a:t> active</a:t>
          </a:r>
          <a:r>
            <a:rPr lang="en-GB" sz="1100" b="1">
              <a:solidFill>
                <a:schemeClr val="accent2"/>
              </a:solidFill>
            </a:rPr>
            <a:t>)</a:t>
          </a:r>
        </a:p>
      </cdr:txBody>
    </cdr:sp>
  </cdr:relSizeAnchor>
  <cdr:relSizeAnchor xmlns:cdr="http://schemas.openxmlformats.org/drawingml/2006/chartDrawing">
    <cdr:from>
      <cdr:x>0.38667</cdr:x>
      <cdr:y>0.28396</cdr:y>
    </cdr:from>
    <cdr:to>
      <cdr:x>0.4525</cdr:x>
      <cdr:y>0.36864</cdr:y>
    </cdr:to>
    <cdr:sp macro="" textlink="">
      <cdr:nvSpPr>
        <cdr:cNvPr id="9" name="TextBox 1"/>
        <cdr:cNvSpPr txBox="1"/>
      </cdr:nvSpPr>
      <cdr:spPr>
        <a:xfrm xmlns:a="http://schemas.openxmlformats.org/drawingml/2006/main">
          <a:off x="2946425" y="1250934"/>
          <a:ext cx="501625" cy="3730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solidFill>
            </a:rPr>
            <a:t>6.7%</a:t>
          </a:r>
        </a:p>
      </cdr:txBody>
    </cdr:sp>
  </cdr:relSizeAnchor>
  <cdr:relSizeAnchor xmlns:cdr="http://schemas.openxmlformats.org/drawingml/2006/chartDrawing">
    <cdr:from>
      <cdr:x>0.39542</cdr:x>
      <cdr:y>0.07423</cdr:y>
    </cdr:from>
    <cdr:to>
      <cdr:x>0.98042</cdr:x>
      <cdr:y>0.07424</cdr:y>
    </cdr:to>
    <cdr:cxnSp macro="">
      <cdr:nvCxnSpPr>
        <cdr:cNvPr id="13" name="Straight Connector 12"/>
        <cdr:cNvCxnSpPr/>
      </cdr:nvCxnSpPr>
      <cdr:spPr>
        <a:xfrm xmlns:a="http://schemas.openxmlformats.org/drawingml/2006/main" flipV="1">
          <a:off x="3013075" y="327025"/>
          <a:ext cx="4457700" cy="18"/>
        </a:xfrm>
        <a:prstGeom xmlns:a="http://schemas.openxmlformats.org/drawingml/2006/main" prst="line">
          <a:avLst/>
        </a:prstGeom>
        <a:ln xmlns:a="http://schemas.openxmlformats.org/drawingml/2006/main" w="6350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0.74917</cdr:x>
      <cdr:y>0.0764</cdr:y>
    </cdr:from>
    <cdr:to>
      <cdr:x>0.97542</cdr:x>
      <cdr:y>0.17838</cdr:y>
    </cdr:to>
    <cdr:sp macro="" textlink="">
      <cdr:nvSpPr>
        <cdr:cNvPr id="14" name="TextBox 1"/>
        <cdr:cNvSpPr txBox="1"/>
      </cdr:nvSpPr>
      <cdr:spPr>
        <a:xfrm xmlns:a="http://schemas.openxmlformats.org/drawingml/2006/main">
          <a:off x="5708650" y="336550"/>
          <a:ext cx="1724024" cy="449277"/>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1100" b="1">
              <a:solidFill>
                <a:srgbClr val="00B050"/>
              </a:solidFill>
            </a:rPr>
            <a:t>Green line = Census 2011 </a:t>
          </a:r>
        </a:p>
        <a:p xmlns:a="http://schemas.openxmlformats.org/drawingml/2006/main">
          <a:pPr algn="r"/>
          <a:r>
            <a:rPr lang="en-GB" sz="1100" b="1">
              <a:solidFill>
                <a:srgbClr val="00B050"/>
              </a:solidFill>
            </a:rPr>
            <a:t>(aged 16-64)</a:t>
          </a:r>
        </a:p>
      </cdr:txBody>
    </cdr:sp>
  </cdr:relSizeAnchor>
  <cdr:relSizeAnchor xmlns:cdr="http://schemas.openxmlformats.org/drawingml/2006/chartDrawing">
    <cdr:from>
      <cdr:x>0.39167</cdr:x>
      <cdr:y>0.06559</cdr:y>
    </cdr:from>
    <cdr:to>
      <cdr:x>0.4575</cdr:x>
      <cdr:y>0.15027</cdr:y>
    </cdr:to>
    <cdr:sp macro="" textlink="">
      <cdr:nvSpPr>
        <cdr:cNvPr id="15" name="TextBox 1"/>
        <cdr:cNvSpPr txBox="1"/>
      </cdr:nvSpPr>
      <cdr:spPr>
        <a:xfrm xmlns:a="http://schemas.openxmlformats.org/drawingml/2006/main">
          <a:off x="2984500" y="288925"/>
          <a:ext cx="501625" cy="3730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rgbClr val="00B050"/>
              </a:solidFill>
            </a:rPr>
            <a:t>8.9%</a:t>
          </a:r>
        </a:p>
      </cdr:txBody>
    </cdr:sp>
  </cdr:relSizeAnchor>
</c:userShapes>
</file>

<file path=word/drawings/drawing7.xml><?xml version="1.0" encoding="utf-8"?>
<c:userShapes xmlns:c="http://schemas.openxmlformats.org/drawingml/2006/chart">
  <cdr:relSizeAnchor xmlns:cdr="http://schemas.openxmlformats.org/drawingml/2006/chartDrawing">
    <cdr:from>
      <cdr:x>0.015</cdr:x>
      <cdr:y>0.03135</cdr:y>
    </cdr:from>
    <cdr:to>
      <cdr:x>0.26539</cdr:x>
      <cdr:y>0.92469</cdr:y>
    </cdr:to>
    <cdr:sp macro="" textlink="">
      <cdr:nvSpPr>
        <cdr:cNvPr id="2" name="TextBox 1"/>
        <cdr:cNvSpPr txBox="1"/>
      </cdr:nvSpPr>
      <cdr:spPr>
        <a:xfrm xmlns:a="http://schemas.openxmlformats.org/drawingml/2006/main">
          <a:off x="104443" y="142735"/>
          <a:ext cx="1743408" cy="4067315"/>
        </a:xfrm>
        <a:prstGeom xmlns:a="http://schemas.openxmlformats.org/drawingml/2006/main" prst="rect">
          <a:avLst/>
        </a:prstGeom>
        <a:solidFill xmlns:a="http://schemas.openxmlformats.org/drawingml/2006/main">
          <a:schemeClr val="bg1">
            <a:lumMod val="95000"/>
          </a:schemeClr>
        </a:solidFill>
        <a:ln xmlns:a="http://schemas.openxmlformats.org/drawingml/2006/main">
          <a:solidFill>
            <a:schemeClr val="bg1">
              <a:lumMod val="75000"/>
            </a:schemeClr>
          </a:solidFill>
        </a:ln>
      </cdr:spPr>
      <cdr:txBody>
        <a:bodyPr xmlns:a="http://schemas.openxmlformats.org/drawingml/2006/main" vertOverflow="clip" wrap="square" rtlCol="0"/>
        <a:lstStyle xmlns:a="http://schemas.openxmlformats.org/drawingml/2006/main"/>
        <a:p xmlns:a="http://schemas.openxmlformats.org/drawingml/2006/main">
          <a:r>
            <a:rPr lang="en-GB" sz="1400" b="1" u="none"/>
            <a:t>SEXUAL</a:t>
          </a:r>
          <a:r>
            <a:rPr lang="en-GB" sz="1400" b="1" u="none" baseline="0"/>
            <a:t> ORIENTATION</a:t>
          </a:r>
          <a:endParaRPr lang="en-GB" sz="1400" b="1" u="none"/>
        </a:p>
        <a:p xmlns:a="http://schemas.openxmlformats.org/drawingml/2006/main">
          <a:endParaRPr lang="en-GB" sz="1100" b="1" u="none"/>
        </a:p>
        <a:p xmlns:a="http://schemas.openxmlformats.org/drawingml/2006/main">
          <a:r>
            <a:rPr lang="en-GB" sz="1100" b="0" u="none"/>
            <a:t>The</a:t>
          </a:r>
          <a:r>
            <a:rPr lang="en-GB" sz="1100" b="0" u="none" baseline="0"/>
            <a:t> Annual Population Survey (2016) suggests that 2.0% of the population identifies as bisexual, lesbian or gay.</a:t>
          </a:r>
        </a:p>
        <a:p xmlns:a="http://schemas.openxmlformats.org/drawingml/2006/main">
          <a:endParaRPr lang="en-GB" sz="1100" b="0" u="none" baseline="0"/>
        </a:p>
        <a:p xmlns:a="http://schemas.openxmlformats.org/drawingml/2006/main">
          <a:r>
            <a:rPr lang="en-GB" sz="1100" b="0" u="none" baseline="0">
              <a:solidFill>
                <a:sysClr val="windowText" lastClr="000000"/>
              </a:solidFill>
            </a:rPr>
            <a:t>As between 35-40% of the workforce do not feel able  to declare their sexual orintation, it is hard to get an accurate piucture.  </a:t>
          </a:r>
        </a:p>
        <a:p xmlns:a="http://schemas.openxmlformats.org/drawingml/2006/main">
          <a:endParaRPr lang="en-GB" sz="1100" b="0" u="none" baseline="0"/>
        </a:p>
        <a:p xmlns:a="http://schemas.openxmlformats.org/drawingml/2006/main">
          <a:r>
            <a:rPr lang="en-GB" sz="1100" b="0" u="none" baseline="0"/>
            <a:t>To put this into perspective, to reach 2% would  equate to 5 people.</a:t>
          </a:r>
        </a:p>
        <a:p xmlns:a="http://schemas.openxmlformats.org/drawingml/2006/main">
          <a:endParaRPr lang="en-GB" sz="1100" b="0" u="none"/>
        </a:p>
      </cdr:txBody>
    </cdr:sp>
  </cdr:relSizeAnchor>
  <cdr:relSizeAnchor xmlns:cdr="http://schemas.openxmlformats.org/drawingml/2006/chartDrawing">
    <cdr:from>
      <cdr:x>0.325</cdr:x>
      <cdr:y>0.20864</cdr:y>
    </cdr:from>
    <cdr:to>
      <cdr:x>0.985</cdr:x>
      <cdr:y>0.20973</cdr:y>
    </cdr:to>
    <cdr:cxnSp macro="">
      <cdr:nvCxnSpPr>
        <cdr:cNvPr id="4" name="Straight Connector 3"/>
        <cdr:cNvCxnSpPr/>
      </cdr:nvCxnSpPr>
      <cdr:spPr>
        <a:xfrm xmlns:a="http://schemas.openxmlformats.org/drawingml/2006/main">
          <a:off x="2476500" y="919146"/>
          <a:ext cx="5029200" cy="4779"/>
        </a:xfrm>
        <a:prstGeom xmlns:a="http://schemas.openxmlformats.org/drawingml/2006/main" prst="line">
          <a:avLst/>
        </a:prstGeom>
        <a:ln xmlns:a="http://schemas.openxmlformats.org/drawingml/2006/main" w="6350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0.6275</cdr:x>
      <cdr:y>0.13477</cdr:y>
    </cdr:from>
    <cdr:to>
      <cdr:x>0.9775</cdr:x>
      <cdr:y>0.23676</cdr:y>
    </cdr:to>
    <cdr:sp macro="" textlink="">
      <cdr:nvSpPr>
        <cdr:cNvPr id="8" name="TextBox 1"/>
        <cdr:cNvSpPr txBox="1"/>
      </cdr:nvSpPr>
      <cdr:spPr>
        <a:xfrm xmlns:a="http://schemas.openxmlformats.org/drawingml/2006/main">
          <a:off x="4781550" y="593712"/>
          <a:ext cx="2666999" cy="4492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solidFill>
            </a:rPr>
            <a:t>Red line = Annual</a:t>
          </a:r>
          <a:r>
            <a:rPr lang="en-GB" sz="1100" b="1" baseline="0">
              <a:solidFill>
                <a:schemeClr val="accent2"/>
              </a:solidFill>
            </a:rPr>
            <a:t> Population Survey 2016</a:t>
          </a:r>
          <a:endParaRPr lang="en-GB" sz="1100" b="1">
            <a:solidFill>
              <a:schemeClr val="accent2"/>
            </a:solidFill>
          </a:endParaRPr>
        </a:p>
      </cdr:txBody>
    </cdr:sp>
  </cdr:relSizeAnchor>
  <cdr:relSizeAnchor xmlns:cdr="http://schemas.openxmlformats.org/drawingml/2006/chartDrawing">
    <cdr:from>
      <cdr:x>0.32292</cdr:x>
      <cdr:y>0.14991</cdr:y>
    </cdr:from>
    <cdr:to>
      <cdr:x>0.38875</cdr:x>
      <cdr:y>0.23459</cdr:y>
    </cdr:to>
    <cdr:sp macro="" textlink="">
      <cdr:nvSpPr>
        <cdr:cNvPr id="9" name="TextBox 1"/>
        <cdr:cNvSpPr txBox="1"/>
      </cdr:nvSpPr>
      <cdr:spPr>
        <a:xfrm xmlns:a="http://schemas.openxmlformats.org/drawingml/2006/main">
          <a:off x="2460650" y="660405"/>
          <a:ext cx="501625" cy="3730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solidFill>
            </a:rPr>
            <a:t>2.0%</a:t>
          </a:r>
        </a:p>
      </cdr:txBody>
    </cdr:sp>
  </cdr:relSizeAnchor>
  <cdr:relSizeAnchor xmlns:cdr="http://schemas.openxmlformats.org/drawingml/2006/chartDrawing">
    <cdr:from>
      <cdr:x>0.32792</cdr:x>
      <cdr:y>0.43315</cdr:y>
    </cdr:from>
    <cdr:to>
      <cdr:x>0.39375</cdr:x>
      <cdr:y>0.51784</cdr:y>
    </cdr:to>
    <cdr:sp macro="" textlink="">
      <cdr:nvSpPr>
        <cdr:cNvPr id="12" name="TextBox 1"/>
        <cdr:cNvSpPr txBox="1"/>
      </cdr:nvSpPr>
      <cdr:spPr>
        <a:xfrm xmlns:a="http://schemas.openxmlformats.org/drawingml/2006/main">
          <a:off x="2498750" y="1908163"/>
          <a:ext cx="501625" cy="3730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solidFill>
                <a:schemeClr val="accent2">
                  <a:lumMod val="60000"/>
                  <a:lumOff val="40000"/>
                </a:schemeClr>
              </a:solidFill>
            </a:rPr>
            <a:t>1.4%</a:t>
          </a:r>
        </a:p>
      </cdr:txBody>
    </cdr:sp>
  </cdr:relSizeAnchor>
  <cdr:relSizeAnchor xmlns:cdr="http://schemas.openxmlformats.org/drawingml/2006/chartDrawing">
    <cdr:from>
      <cdr:x>0.33</cdr:x>
      <cdr:y>0.43352</cdr:y>
    </cdr:from>
    <cdr:to>
      <cdr:x>0.98375</cdr:x>
      <cdr:y>0.43784</cdr:y>
    </cdr:to>
    <cdr:cxnSp macro="">
      <cdr:nvCxnSpPr>
        <cdr:cNvPr id="10" name="Straight Connector 9"/>
        <cdr:cNvCxnSpPr/>
      </cdr:nvCxnSpPr>
      <cdr:spPr>
        <a:xfrm xmlns:a="http://schemas.openxmlformats.org/drawingml/2006/main" flipV="1">
          <a:off x="2514600" y="1909775"/>
          <a:ext cx="4981575" cy="19031"/>
        </a:xfrm>
        <a:prstGeom xmlns:a="http://schemas.openxmlformats.org/drawingml/2006/main" prst="line">
          <a:avLst/>
        </a:prstGeom>
        <a:ln xmlns:a="http://schemas.openxmlformats.org/drawingml/2006/main" w="28575">
          <a:solidFill>
            <a:schemeClr val="accent2">
              <a:lumMod val="40000"/>
              <a:lumOff val="6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3171-083D-4DA9-A908-4C898161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A413DD27</Template>
  <TotalTime>15</TotalTime>
  <Pages>26</Pages>
  <Words>4365</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padams</dc:creator>
  <cp:lastModifiedBy>hbishop</cp:lastModifiedBy>
  <cp:revision>4</cp:revision>
  <cp:lastPrinted>2018-06-28T07:04:00Z</cp:lastPrinted>
  <dcterms:created xsi:type="dcterms:W3CDTF">2018-10-12T10:00:00Z</dcterms:created>
  <dcterms:modified xsi:type="dcterms:W3CDTF">2018-10-12T10:14:00Z</dcterms:modified>
</cp:coreProperties>
</file>